
<file path=[Content_Types].xml><?xml version="1.0" encoding="utf-8"?>
<Types xmlns="http://schemas.openxmlformats.org/package/2006/content-types">
  <Default Extension="rels" ContentType="application/vnd.openxmlformats-package.relationships+xml"/>
  <Default Extension="tif" ContentType="image/tiff"/>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3996B" w14:textId="3BFB0C3F" w:rsidR="00101C11" w:rsidRPr="001A3F8D" w:rsidRDefault="001A3F8D" w:rsidP="00101C11">
      <w:pPr>
        <w:tabs>
          <w:tab w:val="clear" w:pos="567"/>
          <w:tab w:val="left" w:pos="3255"/>
        </w:tabs>
        <w:rPr>
          <w:rFonts w:asciiTheme="minorHAnsi" w:eastAsiaTheme="minorHAnsi" w:hAnsiTheme="minorHAnsi" w:cstheme="minorHAnsi"/>
          <w:sz w:val="36"/>
          <w:szCs w:val="36"/>
        </w:rPr>
      </w:pPr>
      <w:r w:rsidRPr="001A3F8D">
        <w:rPr>
          <w:rFonts w:asciiTheme="minorHAnsi" w:eastAsiaTheme="minorHAnsi" w:hAnsiTheme="minorHAnsi" w:cstheme="minorHAnsi"/>
          <w:sz w:val="36"/>
          <w:szCs w:val="36"/>
        </w:rPr>
        <w:t xml:space="preserve">Status Assessment 2025 - Modiolus </w:t>
      </w:r>
      <w:proofErr w:type="spellStart"/>
      <w:r w:rsidRPr="001A3F8D">
        <w:rPr>
          <w:rFonts w:asciiTheme="minorHAnsi" w:eastAsiaTheme="minorHAnsi" w:hAnsiTheme="minorHAnsi" w:cstheme="minorHAnsi"/>
          <w:sz w:val="36"/>
          <w:szCs w:val="36"/>
        </w:rPr>
        <w:t>modiolus</w:t>
      </w:r>
      <w:proofErr w:type="spellEnd"/>
      <w:r w:rsidRPr="001A3F8D">
        <w:rPr>
          <w:rFonts w:asciiTheme="minorHAnsi" w:eastAsiaTheme="minorHAnsi" w:hAnsiTheme="minorHAnsi" w:cstheme="minorHAnsi"/>
          <w:sz w:val="36"/>
          <w:szCs w:val="36"/>
        </w:rPr>
        <w:t> beds</w:t>
      </w:r>
    </w:p>
    <w:tbl>
      <w:tblPr>
        <w:tblStyle w:val="TableGrid11"/>
        <w:tblW w:w="9540" w:type="dxa"/>
        <w:tblInd w:w="-5" w:type="dxa"/>
        <w:tblLook w:val="04A0" w:firstRow="1" w:lastRow="0" w:firstColumn="1" w:lastColumn="0" w:noHBand="0" w:noVBand="1"/>
      </w:tblPr>
      <w:tblGrid>
        <w:gridCol w:w="1774"/>
        <w:gridCol w:w="7766"/>
      </w:tblGrid>
      <w:tr w:rsidR="001A3F8D" w:rsidRPr="003D4093" w14:paraId="6C6A04E0" w14:textId="77777777" w:rsidTr="00446C54">
        <w:tc>
          <w:tcPr>
            <w:tcW w:w="1774" w:type="dxa"/>
          </w:tcPr>
          <w:p w14:paraId="1EA7EF4D"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Content</w:t>
            </w:r>
          </w:p>
        </w:tc>
        <w:tc>
          <w:tcPr>
            <w:tcW w:w="7766" w:type="dxa"/>
          </w:tcPr>
          <w:p w14:paraId="2B941EB0"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Guidance</w:t>
            </w:r>
          </w:p>
        </w:tc>
      </w:tr>
      <w:tr w:rsidR="001A3F8D" w:rsidRPr="003D4093" w14:paraId="4216B991" w14:textId="77777777" w:rsidTr="00446C54">
        <w:tc>
          <w:tcPr>
            <w:tcW w:w="1774" w:type="dxa"/>
          </w:tcPr>
          <w:p w14:paraId="3A49F565"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Sheet reference</w:t>
            </w:r>
          </w:p>
        </w:tc>
        <w:tc>
          <w:tcPr>
            <w:tcW w:w="7766" w:type="dxa"/>
          </w:tcPr>
          <w:p w14:paraId="4257EC72"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BDC202</w:t>
            </w:r>
            <w:r>
              <w:rPr>
                <w:rFonts w:asciiTheme="minorHAnsi" w:hAnsiTheme="minorHAnsi" w:cstheme="minorHAnsi"/>
                <w:color w:val="auto"/>
                <w:szCs w:val="22"/>
                <w:lang w:val="en-GB"/>
              </w:rPr>
              <w:t>5</w:t>
            </w:r>
            <w:r w:rsidRPr="003D4093">
              <w:rPr>
                <w:rFonts w:asciiTheme="minorHAnsi" w:hAnsiTheme="minorHAnsi" w:cstheme="minorHAnsi"/>
                <w:color w:val="auto"/>
                <w:szCs w:val="22"/>
                <w:lang w:val="en-GB"/>
              </w:rPr>
              <w:t>/</w:t>
            </w:r>
            <w:proofErr w:type="spellStart"/>
            <w:r w:rsidRPr="003D4093">
              <w:rPr>
                <w:rFonts w:asciiTheme="minorHAnsi" w:hAnsiTheme="minorHAnsi" w:cstheme="minorHAnsi"/>
                <w:color w:val="auto"/>
                <w:szCs w:val="22"/>
                <w:lang w:val="en-GB"/>
              </w:rPr>
              <w:t>Modiolus_modiolus</w:t>
            </w:r>
            <w:proofErr w:type="spellEnd"/>
          </w:p>
        </w:tc>
      </w:tr>
      <w:tr w:rsidR="001A3F8D" w:rsidRPr="003D4093" w14:paraId="465DF53E" w14:textId="77777777" w:rsidTr="00446C54">
        <w:tc>
          <w:tcPr>
            <w:tcW w:w="1774" w:type="dxa"/>
          </w:tcPr>
          <w:p w14:paraId="7CD9B595"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Area Assessed</w:t>
            </w:r>
          </w:p>
        </w:tc>
        <w:tc>
          <w:tcPr>
            <w:tcW w:w="7766" w:type="dxa"/>
          </w:tcPr>
          <w:p w14:paraId="47180107" w14:textId="77777777" w:rsidR="001A3F8D" w:rsidRPr="001A3F8D" w:rsidRDefault="001A3F8D" w:rsidP="00E40E80">
            <w:pPr>
              <w:tabs>
                <w:tab w:val="clear" w:pos="567"/>
              </w:tabs>
              <w:spacing w:line="240" w:lineRule="auto"/>
              <w:rPr>
                <w:rFonts w:asciiTheme="minorHAnsi" w:hAnsiTheme="minorHAnsi" w:cstheme="minorHAnsi"/>
                <w:bCs/>
                <w:color w:val="auto"/>
                <w:szCs w:val="22"/>
                <w:lang w:val="en-GB"/>
              </w:rPr>
            </w:pPr>
            <w:r w:rsidRPr="001A3F8D">
              <w:rPr>
                <w:rFonts w:asciiTheme="minorHAnsi" w:hAnsiTheme="minorHAnsi" w:cstheme="minorHAnsi"/>
                <w:bCs/>
                <w:color w:val="auto"/>
                <w:szCs w:val="22"/>
                <w:lang w:val="en-GB"/>
              </w:rPr>
              <w:t>OSPAR Regions where the habitat occurs: I, II, III, IV, V</w:t>
            </w:r>
          </w:p>
          <w:p w14:paraId="7EEC3298"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1A3F8D">
              <w:rPr>
                <w:rFonts w:asciiTheme="minorHAnsi" w:hAnsiTheme="minorHAnsi" w:cstheme="minorHAnsi"/>
                <w:bCs/>
                <w:color w:val="auto"/>
                <w:szCs w:val="22"/>
                <w:lang w:val="en-GB"/>
              </w:rPr>
              <w:t>OSPAR Regions where the habitat is under threat and/or decline</w:t>
            </w:r>
            <w:r w:rsidRPr="003D4093">
              <w:rPr>
                <w:rFonts w:asciiTheme="minorHAnsi" w:hAnsiTheme="minorHAnsi" w:cstheme="minorHAnsi"/>
                <w:b/>
                <w:color w:val="auto"/>
                <w:szCs w:val="22"/>
                <w:lang w:val="en-GB"/>
              </w:rPr>
              <w:t>:</w:t>
            </w:r>
            <w:r w:rsidRPr="003D4093">
              <w:rPr>
                <w:rFonts w:asciiTheme="minorHAnsi" w:hAnsiTheme="minorHAnsi" w:cstheme="minorHAnsi"/>
                <w:color w:val="auto"/>
                <w:szCs w:val="22"/>
                <w:lang w:val="en-GB"/>
              </w:rPr>
              <w:t xml:space="preserve"> I, II, III, IV, V</w:t>
            </w:r>
          </w:p>
        </w:tc>
      </w:tr>
      <w:tr w:rsidR="001A3F8D" w:rsidRPr="003D4093" w14:paraId="2B6420D5" w14:textId="77777777" w:rsidTr="00446C54">
        <w:tc>
          <w:tcPr>
            <w:tcW w:w="1774" w:type="dxa"/>
            <w:tcBorders>
              <w:bottom w:val="single" w:sz="4" w:space="0" w:color="auto"/>
            </w:tcBorders>
          </w:tcPr>
          <w:p w14:paraId="1D962776"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Title</w:t>
            </w:r>
          </w:p>
        </w:tc>
        <w:tc>
          <w:tcPr>
            <w:tcW w:w="7766" w:type="dxa"/>
            <w:tcBorders>
              <w:bottom w:val="single" w:sz="4" w:space="0" w:color="auto"/>
            </w:tcBorders>
          </w:tcPr>
          <w:p w14:paraId="2474AED6" w14:textId="77777777" w:rsidR="001A3F8D" w:rsidRPr="001A3F8D" w:rsidRDefault="001A3F8D" w:rsidP="00E40E80">
            <w:pPr>
              <w:tabs>
                <w:tab w:val="clear" w:pos="567"/>
              </w:tabs>
              <w:contextualSpacing/>
              <w:rPr>
                <w:rFonts w:asciiTheme="minorHAnsi" w:hAnsiTheme="minorHAnsi" w:cstheme="minorHAnsi"/>
                <w:iCs/>
                <w:color w:val="auto"/>
                <w:szCs w:val="22"/>
              </w:rPr>
            </w:pPr>
            <w:r w:rsidRPr="001A3F8D">
              <w:rPr>
                <w:rFonts w:asciiTheme="minorHAnsi" w:hAnsiTheme="minorHAnsi" w:cstheme="minorHAnsi"/>
                <w:iCs/>
                <w:color w:val="auto"/>
                <w:szCs w:val="22"/>
              </w:rPr>
              <w:t xml:space="preserve">Status Assessment 2025 - Modiolus </w:t>
            </w:r>
            <w:proofErr w:type="spellStart"/>
            <w:r w:rsidRPr="001A3F8D">
              <w:rPr>
                <w:rFonts w:asciiTheme="minorHAnsi" w:hAnsiTheme="minorHAnsi" w:cstheme="minorHAnsi"/>
                <w:iCs/>
                <w:color w:val="auto"/>
                <w:szCs w:val="22"/>
              </w:rPr>
              <w:t>modiolus</w:t>
            </w:r>
            <w:proofErr w:type="spellEnd"/>
            <w:r w:rsidRPr="001A3F8D">
              <w:rPr>
                <w:rFonts w:asciiTheme="minorHAnsi" w:hAnsiTheme="minorHAnsi" w:cstheme="minorHAnsi"/>
                <w:iCs/>
                <w:color w:val="auto"/>
                <w:szCs w:val="22"/>
              </w:rPr>
              <w:t> beds</w:t>
            </w:r>
          </w:p>
        </w:tc>
      </w:tr>
    </w:tbl>
    <w:p w14:paraId="17A88FFB" w14:textId="77777777" w:rsidR="001A3F8D" w:rsidRDefault="001A3F8D" w:rsidP="00E40E80">
      <w:pPr>
        <w:tabs>
          <w:tab w:val="clear" w:pos="567"/>
        </w:tabs>
        <w:spacing w:line="240" w:lineRule="auto"/>
        <w:rPr>
          <w:rFonts w:asciiTheme="minorHAnsi" w:hAnsiTheme="minorHAnsi" w:cstheme="minorHAnsi"/>
          <w:color w:val="auto"/>
          <w:szCs w:val="22"/>
        </w:rPr>
        <w:sectPr w:rsidR="001A3F8D" w:rsidSect="00A63D48">
          <w:headerReference w:type="even" r:id="rId8"/>
          <w:headerReference w:type="default" r:id="rId9"/>
          <w:footerReference w:type="even" r:id="rId10"/>
          <w:footerReference w:type="default" r:id="rId11"/>
          <w:pgSz w:w="11906" w:h="16838"/>
          <w:pgMar w:top="1134" w:right="1134" w:bottom="1134" w:left="1134" w:header="0" w:footer="830" w:gutter="0"/>
          <w:cols w:space="720"/>
          <w:formProt w:val="0"/>
          <w:docGrid w:linePitch="360" w:charSpace="-2049"/>
        </w:sectPr>
      </w:pPr>
    </w:p>
    <w:tbl>
      <w:tblPr>
        <w:tblStyle w:val="TableGrid11"/>
        <w:tblW w:w="14580" w:type="dxa"/>
        <w:tblInd w:w="-5" w:type="dxa"/>
        <w:tblLook w:val="04A0" w:firstRow="1" w:lastRow="0" w:firstColumn="1" w:lastColumn="0" w:noHBand="0" w:noVBand="1"/>
      </w:tblPr>
      <w:tblGrid>
        <w:gridCol w:w="1774"/>
        <w:gridCol w:w="12806"/>
      </w:tblGrid>
      <w:tr w:rsidR="001A3F8D" w:rsidRPr="003D4093" w14:paraId="043C2CCB" w14:textId="77777777" w:rsidTr="001E4D6B">
        <w:tc>
          <w:tcPr>
            <w:tcW w:w="1774" w:type="dxa"/>
          </w:tcPr>
          <w:p w14:paraId="7CA8C8F4" w14:textId="5C819F68"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Key message</w:t>
            </w:r>
          </w:p>
        </w:tc>
        <w:tc>
          <w:tcPr>
            <w:tcW w:w="12806" w:type="dxa"/>
          </w:tcPr>
          <w:p w14:paraId="7232297B" w14:textId="77777777" w:rsidR="001A3F8D" w:rsidRDefault="001A3F8D" w:rsidP="00E40E80">
            <w:pPr>
              <w:tabs>
                <w:tab w:val="clear" w:pos="567"/>
              </w:tabs>
              <w:spacing w:after="0" w:line="240" w:lineRule="auto"/>
              <w:rPr>
                <w:rFonts w:asciiTheme="minorHAnsi" w:hAnsiTheme="minorHAnsi" w:cstheme="minorHAnsi"/>
                <w:iCs/>
                <w:color w:val="auto"/>
                <w:szCs w:val="22"/>
                <w:lang w:val="en-GB"/>
              </w:rPr>
            </w:pPr>
            <w:bookmarkStart w:id="0" w:name="_Hlk203641681"/>
            <w:r w:rsidRPr="003D4093">
              <w:rPr>
                <w:rFonts w:asciiTheme="minorHAnsi" w:hAnsiTheme="minorHAnsi" w:cstheme="minorHAnsi"/>
                <w:iCs/>
                <w:color w:val="auto"/>
                <w:szCs w:val="22"/>
                <w:lang w:val="en-GB"/>
              </w:rPr>
              <w:t xml:space="preserve">The status of </w:t>
            </w:r>
            <w:r w:rsidRPr="003D4093">
              <w:rPr>
                <w:rFonts w:asciiTheme="minorHAnsi" w:hAnsiTheme="minorHAnsi" w:cstheme="minorHAnsi"/>
                <w:i/>
                <w:color w:val="auto"/>
                <w:szCs w:val="22"/>
                <w:lang w:val="en-GB"/>
              </w:rPr>
              <w:t>M. modiolus</w:t>
            </w:r>
            <w:r w:rsidRPr="003D4093">
              <w:rPr>
                <w:rFonts w:asciiTheme="minorHAnsi" w:hAnsiTheme="minorHAnsi" w:cstheme="minorHAnsi"/>
                <w:iCs/>
                <w:color w:val="auto"/>
                <w:szCs w:val="22"/>
                <w:lang w:val="en-GB"/>
              </w:rPr>
              <w:t xml:space="preserve"> beds with regard to distribution, extent and condition is generally poor throughout the OSPAR Maritime Area. In Region II (Greater North Sea), there is evidence of clear decreases in distribution and extent. In Region III (Celtic Seas), distribution appears stable, but the extent has declined. Condition is poor in both regions, however, the trend in condition is mixed, with condition improving in certain beds. No assessments were available for the other OSPAR Regions.</w:t>
            </w:r>
          </w:p>
          <w:p w14:paraId="096E42CE" w14:textId="77777777" w:rsidR="001A3F8D" w:rsidRPr="003D4093" w:rsidRDefault="001A3F8D" w:rsidP="00E40E80">
            <w:pPr>
              <w:tabs>
                <w:tab w:val="clear" w:pos="567"/>
              </w:tabs>
              <w:spacing w:after="0" w:line="240" w:lineRule="auto"/>
              <w:rPr>
                <w:rFonts w:asciiTheme="minorHAnsi" w:hAnsiTheme="minorHAnsi" w:cstheme="minorHAnsi"/>
                <w:iCs/>
                <w:color w:val="auto"/>
                <w:szCs w:val="22"/>
                <w:lang w:val="en-GB"/>
              </w:rPr>
            </w:pPr>
          </w:p>
          <w:p w14:paraId="66059AB2" w14:textId="77777777" w:rsidR="001A3F8D" w:rsidRPr="003D4093" w:rsidRDefault="001A3F8D" w:rsidP="00E40E80">
            <w:pPr>
              <w:tabs>
                <w:tab w:val="clear" w:pos="567"/>
              </w:tabs>
              <w:spacing w:after="0" w:line="240" w:lineRule="auto"/>
              <w:rPr>
                <w:rFonts w:asciiTheme="minorHAnsi" w:hAnsiTheme="minorHAnsi" w:cstheme="minorHAnsi"/>
                <w:iCs/>
                <w:color w:val="auto"/>
                <w:szCs w:val="22"/>
                <w:lang w:val="en-GB"/>
              </w:rPr>
            </w:pPr>
            <w:r w:rsidRPr="003D4093">
              <w:rPr>
                <w:rFonts w:asciiTheme="minorHAnsi" w:hAnsiTheme="minorHAnsi" w:cstheme="minorHAnsi"/>
                <w:iCs/>
                <w:color w:val="auto"/>
                <w:szCs w:val="22"/>
                <w:lang w:val="en-GB"/>
              </w:rPr>
              <w:t xml:space="preserve">The main pressures to </w:t>
            </w:r>
            <w:r w:rsidRPr="003D4093">
              <w:rPr>
                <w:rFonts w:asciiTheme="minorHAnsi" w:hAnsiTheme="minorHAnsi" w:cstheme="minorHAnsi"/>
                <w:i/>
                <w:color w:val="auto"/>
                <w:szCs w:val="22"/>
                <w:lang w:val="en-GB"/>
              </w:rPr>
              <w:t>M. modiolus</w:t>
            </w:r>
            <w:r w:rsidRPr="003D4093">
              <w:rPr>
                <w:rFonts w:asciiTheme="minorHAnsi" w:hAnsiTheme="minorHAnsi" w:cstheme="minorHAnsi"/>
                <w:iCs/>
                <w:color w:val="auto"/>
                <w:szCs w:val="22"/>
                <w:lang w:val="en-GB"/>
              </w:rPr>
              <w:t xml:space="preserve"> beds are ‘Penetration and/or disturbance of the substrate below the surface of the seabed, including abrasion’ and ‘Physical change (to another seabed type)’. Climate change is also projected to have a significant impact on M. modiolus beds, with </w:t>
            </w:r>
            <w:r w:rsidRPr="003D4093">
              <w:rPr>
                <w:rFonts w:asciiTheme="minorHAnsi" w:hAnsiTheme="minorHAnsi" w:cstheme="minorHAnsi"/>
                <w:i/>
                <w:color w:val="auto"/>
                <w:szCs w:val="22"/>
                <w:lang w:val="en-GB"/>
              </w:rPr>
              <w:t>M. modiolus</w:t>
            </w:r>
            <w:r w:rsidRPr="003D4093">
              <w:rPr>
                <w:rFonts w:asciiTheme="minorHAnsi" w:hAnsiTheme="minorHAnsi" w:cstheme="minorHAnsi"/>
                <w:iCs/>
                <w:color w:val="auto"/>
                <w:szCs w:val="22"/>
                <w:lang w:val="en-GB"/>
              </w:rPr>
              <w:t xml:space="preserve"> a boreal species. </w:t>
            </w:r>
          </w:p>
          <w:p w14:paraId="000C91E8" w14:textId="77777777" w:rsidR="001A3F8D" w:rsidRPr="003D4093" w:rsidRDefault="001A3F8D" w:rsidP="00E40E80">
            <w:pPr>
              <w:tabs>
                <w:tab w:val="clear" w:pos="567"/>
              </w:tabs>
              <w:spacing w:after="0" w:line="240" w:lineRule="auto"/>
              <w:rPr>
                <w:rFonts w:asciiTheme="minorHAnsi" w:hAnsiTheme="minorHAnsi" w:cstheme="minorHAnsi"/>
                <w:iCs/>
                <w:color w:val="auto"/>
                <w:szCs w:val="22"/>
                <w:lang w:val="en-GB"/>
              </w:rPr>
            </w:pPr>
          </w:p>
          <w:p w14:paraId="7D4632B1" w14:textId="77777777" w:rsidR="001A3F8D" w:rsidRPr="003D4093" w:rsidRDefault="001A3F8D" w:rsidP="00E40E80">
            <w:pPr>
              <w:tabs>
                <w:tab w:val="clear" w:pos="567"/>
              </w:tabs>
              <w:spacing w:after="0" w:line="240" w:lineRule="auto"/>
              <w:rPr>
                <w:rFonts w:asciiTheme="minorHAnsi" w:hAnsiTheme="minorHAnsi" w:cstheme="minorHAnsi"/>
                <w:iCs/>
                <w:color w:val="auto"/>
                <w:szCs w:val="22"/>
                <w:lang w:val="en-GB"/>
              </w:rPr>
            </w:pPr>
            <w:r w:rsidRPr="003D4093">
              <w:rPr>
                <w:rFonts w:asciiTheme="minorHAnsi" w:hAnsiTheme="minorHAnsi" w:cstheme="minorHAnsi"/>
                <w:iCs/>
                <w:color w:val="auto"/>
                <w:szCs w:val="22"/>
                <w:lang w:val="en-GB"/>
              </w:rPr>
              <w:t xml:space="preserve">There are significant knowledge gaps about the distribution, extent, condition and pressures affecting </w:t>
            </w:r>
            <w:r w:rsidRPr="003D4093">
              <w:rPr>
                <w:rFonts w:asciiTheme="minorHAnsi" w:hAnsiTheme="minorHAnsi" w:cstheme="minorHAnsi"/>
                <w:i/>
                <w:color w:val="auto"/>
                <w:szCs w:val="22"/>
                <w:lang w:val="en-GB"/>
              </w:rPr>
              <w:t>M. modiolus</w:t>
            </w:r>
            <w:r w:rsidRPr="003D4093">
              <w:rPr>
                <w:rFonts w:asciiTheme="minorHAnsi" w:hAnsiTheme="minorHAnsi" w:cstheme="minorHAnsi"/>
                <w:iCs/>
                <w:color w:val="auto"/>
                <w:szCs w:val="22"/>
                <w:lang w:val="en-GB"/>
              </w:rPr>
              <w:t xml:space="preserve"> beds throughout the OSPAR Maritime Area, meaning that the confidence in this assessment is poor.</w:t>
            </w:r>
          </w:p>
          <w:bookmarkEnd w:id="0"/>
          <w:p w14:paraId="50F1A0A5" w14:textId="7CE1C3D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p>
          <w:tbl>
            <w:tblPr>
              <w:tblW w:w="9940" w:type="dxa"/>
              <w:tblLook w:val="04A0" w:firstRow="1" w:lastRow="0" w:firstColumn="1" w:lastColumn="0" w:noHBand="0" w:noVBand="1"/>
            </w:tblPr>
            <w:tblGrid>
              <w:gridCol w:w="1420"/>
              <w:gridCol w:w="1420"/>
              <w:gridCol w:w="1420"/>
              <w:gridCol w:w="1420"/>
              <w:gridCol w:w="1420"/>
              <w:gridCol w:w="1420"/>
              <w:gridCol w:w="1420"/>
            </w:tblGrid>
            <w:tr w:rsidR="001A3F8D" w:rsidRPr="001A3F8D" w14:paraId="55266111" w14:textId="77777777" w:rsidTr="001A3F8D">
              <w:trPr>
                <w:trHeight w:val="900"/>
              </w:trPr>
              <w:tc>
                <w:tcPr>
                  <w:tcW w:w="2840" w:type="dxa"/>
                  <w:gridSpan w:val="2"/>
                  <w:tcBorders>
                    <w:top w:val="single" w:sz="4" w:space="0" w:color="auto"/>
                    <w:left w:val="single" w:sz="4" w:space="0" w:color="auto"/>
                    <w:bottom w:val="single" w:sz="4" w:space="0" w:color="auto"/>
                    <w:right w:val="single" w:sz="4" w:space="0" w:color="auto"/>
                  </w:tcBorders>
                  <w:vAlign w:val="center"/>
                  <w:hideMark/>
                </w:tcPr>
                <w:p w14:paraId="102B9110" w14:textId="77777777" w:rsidR="001A3F8D" w:rsidRPr="001A3F8D" w:rsidRDefault="001A3F8D" w:rsidP="001A3F8D">
                  <w:pPr>
                    <w:tabs>
                      <w:tab w:val="clear" w:pos="567"/>
                    </w:tabs>
                    <w:spacing w:after="0" w:line="240" w:lineRule="auto"/>
                    <w:jc w:val="left"/>
                    <w:rPr>
                      <w:rFonts w:cs="Calibri"/>
                      <w:b/>
                      <w:bCs/>
                      <w:szCs w:val="22"/>
                      <w:lang w:eastAsia="en-GB"/>
                    </w:rPr>
                  </w:pPr>
                  <w:r w:rsidRPr="001A3F8D">
                    <w:rPr>
                      <w:rFonts w:cs="Calibri"/>
                      <w:b/>
                      <w:bCs/>
                      <w:szCs w:val="22"/>
                      <w:lang w:eastAsia="en-GB"/>
                    </w:rPr>
                    <w:t>Assessment of status</w:t>
                  </w:r>
                </w:p>
              </w:tc>
              <w:tc>
                <w:tcPr>
                  <w:tcW w:w="1420" w:type="dxa"/>
                  <w:tcBorders>
                    <w:top w:val="single" w:sz="4" w:space="0" w:color="auto"/>
                    <w:left w:val="nil"/>
                    <w:bottom w:val="single" w:sz="4" w:space="0" w:color="auto"/>
                    <w:right w:val="single" w:sz="4" w:space="0" w:color="auto"/>
                  </w:tcBorders>
                  <w:vAlign w:val="center"/>
                  <w:hideMark/>
                </w:tcPr>
                <w:p w14:paraId="7268C935" w14:textId="77777777" w:rsidR="001A3F8D" w:rsidRPr="001A3F8D" w:rsidRDefault="001A3F8D" w:rsidP="001A3F8D">
                  <w:pPr>
                    <w:tabs>
                      <w:tab w:val="clear" w:pos="567"/>
                    </w:tabs>
                    <w:spacing w:after="0" w:line="240" w:lineRule="auto"/>
                    <w:rPr>
                      <w:rFonts w:cs="Calibri"/>
                      <w:color w:val="auto"/>
                      <w:szCs w:val="22"/>
                      <w:lang w:eastAsia="en-GB"/>
                    </w:rPr>
                  </w:pPr>
                  <w:r w:rsidRPr="001A3F8D">
                    <w:rPr>
                      <w:rFonts w:cs="Calibri"/>
                      <w:color w:val="auto"/>
                      <w:szCs w:val="22"/>
                      <w:lang w:eastAsia="en-GB"/>
                    </w:rPr>
                    <w:t xml:space="preserve">Distribution </w:t>
                  </w:r>
                </w:p>
              </w:tc>
              <w:tc>
                <w:tcPr>
                  <w:tcW w:w="1420" w:type="dxa"/>
                  <w:tcBorders>
                    <w:top w:val="single" w:sz="4" w:space="0" w:color="auto"/>
                    <w:left w:val="nil"/>
                    <w:bottom w:val="single" w:sz="4" w:space="0" w:color="auto"/>
                    <w:right w:val="single" w:sz="4" w:space="0" w:color="auto"/>
                  </w:tcBorders>
                  <w:vAlign w:val="center"/>
                  <w:hideMark/>
                </w:tcPr>
                <w:p w14:paraId="38FBF183" w14:textId="77777777" w:rsidR="001A3F8D" w:rsidRPr="001A3F8D" w:rsidRDefault="001A3F8D" w:rsidP="001A3F8D">
                  <w:pPr>
                    <w:tabs>
                      <w:tab w:val="clear" w:pos="567"/>
                    </w:tabs>
                    <w:spacing w:after="0" w:line="240" w:lineRule="auto"/>
                    <w:rPr>
                      <w:rFonts w:cs="Calibri"/>
                      <w:color w:val="auto"/>
                      <w:szCs w:val="22"/>
                      <w:lang w:eastAsia="en-GB"/>
                    </w:rPr>
                  </w:pPr>
                  <w:r w:rsidRPr="001A3F8D">
                    <w:rPr>
                      <w:rFonts w:cs="Calibri"/>
                      <w:color w:val="auto"/>
                      <w:szCs w:val="22"/>
                      <w:lang w:eastAsia="en-GB"/>
                    </w:rPr>
                    <w:t>Extent</w:t>
                  </w:r>
                </w:p>
              </w:tc>
              <w:tc>
                <w:tcPr>
                  <w:tcW w:w="1420" w:type="dxa"/>
                  <w:tcBorders>
                    <w:top w:val="single" w:sz="4" w:space="0" w:color="auto"/>
                    <w:left w:val="nil"/>
                    <w:bottom w:val="single" w:sz="4" w:space="0" w:color="auto"/>
                    <w:right w:val="single" w:sz="4" w:space="0" w:color="auto"/>
                  </w:tcBorders>
                  <w:vAlign w:val="center"/>
                  <w:hideMark/>
                </w:tcPr>
                <w:p w14:paraId="346D00CA" w14:textId="77777777" w:rsidR="001A3F8D" w:rsidRPr="001A3F8D" w:rsidRDefault="001A3F8D" w:rsidP="001A3F8D">
                  <w:pPr>
                    <w:tabs>
                      <w:tab w:val="clear" w:pos="567"/>
                    </w:tabs>
                    <w:spacing w:after="0" w:line="240" w:lineRule="auto"/>
                    <w:rPr>
                      <w:rFonts w:cs="Calibri"/>
                      <w:color w:val="auto"/>
                      <w:szCs w:val="22"/>
                      <w:lang w:eastAsia="en-GB"/>
                    </w:rPr>
                  </w:pPr>
                  <w:r w:rsidRPr="001A3F8D">
                    <w:rPr>
                      <w:rFonts w:cs="Calibri"/>
                      <w:color w:val="auto"/>
                      <w:szCs w:val="22"/>
                      <w:lang w:eastAsia="en-GB"/>
                    </w:rPr>
                    <w:t>Condition</w:t>
                  </w:r>
                </w:p>
              </w:tc>
              <w:tc>
                <w:tcPr>
                  <w:tcW w:w="1420" w:type="dxa"/>
                  <w:tcBorders>
                    <w:top w:val="single" w:sz="4" w:space="0" w:color="auto"/>
                    <w:left w:val="nil"/>
                    <w:bottom w:val="single" w:sz="4" w:space="0" w:color="auto"/>
                    <w:right w:val="single" w:sz="4" w:space="0" w:color="auto"/>
                  </w:tcBorders>
                  <w:vAlign w:val="center"/>
                  <w:hideMark/>
                </w:tcPr>
                <w:p w14:paraId="54C402D3" w14:textId="77777777" w:rsidR="001A3F8D" w:rsidRPr="001A3F8D" w:rsidRDefault="001A3F8D" w:rsidP="001A3F8D">
                  <w:pPr>
                    <w:tabs>
                      <w:tab w:val="clear" w:pos="567"/>
                    </w:tabs>
                    <w:spacing w:after="0" w:line="240" w:lineRule="auto"/>
                    <w:rPr>
                      <w:rFonts w:cs="Calibri"/>
                      <w:color w:val="auto"/>
                      <w:szCs w:val="22"/>
                      <w:lang w:eastAsia="en-GB"/>
                    </w:rPr>
                  </w:pPr>
                  <w:r w:rsidRPr="001A3F8D">
                    <w:rPr>
                      <w:rFonts w:cs="Calibri"/>
                      <w:color w:val="auto"/>
                      <w:szCs w:val="22"/>
                      <w:lang w:eastAsia="en-GB"/>
                    </w:rPr>
                    <w:t>Previous OSPAR status assessment</w:t>
                  </w:r>
                </w:p>
              </w:tc>
              <w:tc>
                <w:tcPr>
                  <w:tcW w:w="1420" w:type="dxa"/>
                  <w:tcBorders>
                    <w:top w:val="single" w:sz="4" w:space="0" w:color="auto"/>
                    <w:left w:val="nil"/>
                    <w:bottom w:val="single" w:sz="4" w:space="0" w:color="auto"/>
                    <w:right w:val="single" w:sz="4" w:space="0" w:color="auto"/>
                  </w:tcBorders>
                  <w:vAlign w:val="center"/>
                  <w:hideMark/>
                </w:tcPr>
                <w:p w14:paraId="7EAD3064" w14:textId="77777777" w:rsidR="001A3F8D" w:rsidRPr="001A3F8D" w:rsidRDefault="001A3F8D" w:rsidP="001A3F8D">
                  <w:pPr>
                    <w:tabs>
                      <w:tab w:val="clear" w:pos="567"/>
                    </w:tabs>
                    <w:spacing w:after="0" w:line="240" w:lineRule="auto"/>
                    <w:rPr>
                      <w:rFonts w:cs="Calibri"/>
                      <w:b/>
                      <w:bCs/>
                      <w:color w:val="auto"/>
                      <w:szCs w:val="22"/>
                      <w:lang w:eastAsia="en-GB"/>
                    </w:rPr>
                  </w:pPr>
                  <w:r w:rsidRPr="001A3F8D">
                    <w:rPr>
                      <w:rFonts w:cs="Calibri"/>
                      <w:b/>
                      <w:bCs/>
                      <w:color w:val="auto"/>
                      <w:szCs w:val="22"/>
                      <w:lang w:eastAsia="en-GB"/>
                    </w:rPr>
                    <w:t>Status</w:t>
                  </w:r>
                  <w:r w:rsidRPr="001A3F8D">
                    <w:rPr>
                      <w:rFonts w:cs="Calibri"/>
                      <w:color w:val="auto"/>
                      <w:szCs w:val="22"/>
                      <w:lang w:eastAsia="en-GB"/>
                    </w:rPr>
                    <w:t xml:space="preserve"> [overall assessment]</w:t>
                  </w:r>
                </w:p>
              </w:tc>
            </w:tr>
            <w:tr w:rsidR="001A3F8D" w:rsidRPr="001A3F8D" w14:paraId="20AF888D" w14:textId="77777777" w:rsidTr="001A3F8D">
              <w:trPr>
                <w:trHeight w:val="315"/>
              </w:trPr>
              <w:tc>
                <w:tcPr>
                  <w:tcW w:w="1420" w:type="dxa"/>
                  <w:vMerge w:val="restart"/>
                  <w:tcBorders>
                    <w:top w:val="nil"/>
                    <w:left w:val="single" w:sz="4" w:space="0" w:color="auto"/>
                    <w:bottom w:val="single" w:sz="4" w:space="0" w:color="auto"/>
                    <w:right w:val="single" w:sz="4" w:space="0" w:color="auto"/>
                  </w:tcBorders>
                  <w:vAlign w:val="center"/>
                  <w:hideMark/>
                </w:tcPr>
                <w:p w14:paraId="3C66A304" w14:textId="77777777" w:rsidR="001A3F8D" w:rsidRPr="001A3F8D" w:rsidRDefault="001A3F8D" w:rsidP="001A3F8D">
                  <w:pPr>
                    <w:tabs>
                      <w:tab w:val="clear" w:pos="567"/>
                    </w:tabs>
                    <w:spacing w:after="0" w:line="240" w:lineRule="auto"/>
                    <w:jc w:val="center"/>
                    <w:rPr>
                      <w:rFonts w:cs="Calibri"/>
                      <w:b/>
                      <w:bCs/>
                      <w:szCs w:val="22"/>
                      <w:lang w:eastAsia="en-GB"/>
                    </w:rPr>
                  </w:pPr>
                  <w:r w:rsidRPr="001A3F8D">
                    <w:rPr>
                      <w:rFonts w:cs="Calibri"/>
                      <w:b/>
                      <w:bCs/>
                      <w:szCs w:val="22"/>
                      <w:lang w:eastAsia="en-GB"/>
                    </w:rPr>
                    <w:t>Region</w:t>
                  </w:r>
                </w:p>
              </w:tc>
              <w:tc>
                <w:tcPr>
                  <w:tcW w:w="1420" w:type="dxa"/>
                  <w:tcBorders>
                    <w:top w:val="nil"/>
                    <w:left w:val="nil"/>
                    <w:bottom w:val="single" w:sz="4" w:space="0" w:color="auto"/>
                    <w:right w:val="single" w:sz="4" w:space="0" w:color="auto"/>
                  </w:tcBorders>
                  <w:vAlign w:val="center"/>
                  <w:hideMark/>
                </w:tcPr>
                <w:p w14:paraId="4888A220" w14:textId="77777777" w:rsidR="001A3F8D" w:rsidRPr="001A3F8D" w:rsidRDefault="001A3F8D" w:rsidP="001A3F8D">
                  <w:pPr>
                    <w:tabs>
                      <w:tab w:val="clear" w:pos="567"/>
                    </w:tabs>
                    <w:spacing w:after="0" w:line="240" w:lineRule="auto"/>
                    <w:jc w:val="center"/>
                    <w:rPr>
                      <w:rFonts w:cs="Calibri"/>
                      <w:b/>
                      <w:bCs/>
                      <w:szCs w:val="22"/>
                      <w:lang w:eastAsia="en-GB"/>
                    </w:rPr>
                  </w:pPr>
                  <w:r w:rsidRPr="001A3F8D">
                    <w:rPr>
                      <w:rFonts w:cs="Calibri"/>
                      <w:b/>
                      <w:bCs/>
                      <w:szCs w:val="22"/>
                      <w:lang w:eastAsia="en-GB"/>
                    </w:rPr>
                    <w:t>I</w:t>
                  </w:r>
                </w:p>
              </w:tc>
              <w:tc>
                <w:tcPr>
                  <w:tcW w:w="1420" w:type="dxa"/>
                  <w:tcBorders>
                    <w:top w:val="nil"/>
                    <w:left w:val="nil"/>
                    <w:bottom w:val="single" w:sz="4" w:space="0" w:color="auto"/>
                    <w:right w:val="single" w:sz="4" w:space="0" w:color="auto"/>
                  </w:tcBorders>
                  <w:vAlign w:val="center"/>
                  <w:hideMark/>
                </w:tcPr>
                <w:p w14:paraId="3CC07F04" w14:textId="77777777" w:rsidR="001A3F8D" w:rsidRPr="001A3F8D" w:rsidRDefault="001A3F8D" w:rsidP="001A3F8D">
                  <w:pPr>
                    <w:tabs>
                      <w:tab w:val="clear" w:pos="567"/>
                    </w:tabs>
                    <w:spacing w:after="0" w:line="240" w:lineRule="auto"/>
                    <w:rPr>
                      <w:rFonts w:cs="Calibri"/>
                      <w:color w:val="auto"/>
                      <w:szCs w:val="22"/>
                      <w:lang w:eastAsia="en-GB"/>
                    </w:rPr>
                  </w:pPr>
                  <w:r w:rsidRPr="001A3F8D">
                    <w:rPr>
                      <w:rFonts w:cs="Calibri"/>
                      <w:color w:val="auto"/>
                      <w:szCs w:val="22"/>
                      <w:lang w:eastAsia="en-GB"/>
                    </w:rPr>
                    <w:t> </w:t>
                  </w:r>
                </w:p>
              </w:tc>
              <w:tc>
                <w:tcPr>
                  <w:tcW w:w="1420" w:type="dxa"/>
                  <w:tcBorders>
                    <w:top w:val="nil"/>
                    <w:left w:val="nil"/>
                    <w:bottom w:val="single" w:sz="4" w:space="0" w:color="auto"/>
                    <w:right w:val="single" w:sz="4" w:space="0" w:color="auto"/>
                  </w:tcBorders>
                  <w:vAlign w:val="center"/>
                  <w:hideMark/>
                </w:tcPr>
                <w:p w14:paraId="3FD58AAE" w14:textId="77777777" w:rsidR="001A3F8D" w:rsidRPr="001A3F8D" w:rsidRDefault="001A3F8D" w:rsidP="001A3F8D">
                  <w:pPr>
                    <w:tabs>
                      <w:tab w:val="clear" w:pos="567"/>
                    </w:tabs>
                    <w:spacing w:after="0" w:line="240" w:lineRule="auto"/>
                    <w:rPr>
                      <w:rFonts w:cs="Calibri"/>
                      <w:color w:val="auto"/>
                      <w:szCs w:val="22"/>
                      <w:lang w:eastAsia="en-GB"/>
                    </w:rPr>
                  </w:pPr>
                  <w:r w:rsidRPr="001A3F8D">
                    <w:rPr>
                      <w:rFonts w:cs="Calibri"/>
                      <w:color w:val="auto"/>
                      <w:szCs w:val="22"/>
                      <w:lang w:eastAsia="en-GB"/>
                    </w:rPr>
                    <w:t> </w:t>
                  </w:r>
                </w:p>
              </w:tc>
              <w:tc>
                <w:tcPr>
                  <w:tcW w:w="1420" w:type="dxa"/>
                  <w:tcBorders>
                    <w:top w:val="nil"/>
                    <w:left w:val="nil"/>
                    <w:bottom w:val="single" w:sz="4" w:space="0" w:color="auto"/>
                    <w:right w:val="single" w:sz="4" w:space="0" w:color="auto"/>
                  </w:tcBorders>
                  <w:vAlign w:val="center"/>
                  <w:hideMark/>
                </w:tcPr>
                <w:p w14:paraId="7E3600F6" w14:textId="77777777" w:rsidR="001A3F8D" w:rsidRPr="001A3F8D" w:rsidRDefault="001A3F8D" w:rsidP="001A3F8D">
                  <w:pPr>
                    <w:tabs>
                      <w:tab w:val="clear" w:pos="567"/>
                    </w:tabs>
                    <w:spacing w:after="0" w:line="240" w:lineRule="auto"/>
                    <w:rPr>
                      <w:rFonts w:cs="Calibri"/>
                      <w:color w:val="auto"/>
                      <w:szCs w:val="22"/>
                      <w:lang w:eastAsia="en-GB"/>
                    </w:rPr>
                  </w:pPr>
                  <w:r w:rsidRPr="001A3F8D">
                    <w:rPr>
                      <w:rFonts w:cs="Calibri"/>
                      <w:color w:val="auto"/>
                      <w:szCs w:val="22"/>
                      <w:lang w:eastAsia="en-GB"/>
                    </w:rPr>
                    <w:t> </w:t>
                  </w:r>
                </w:p>
              </w:tc>
              <w:tc>
                <w:tcPr>
                  <w:tcW w:w="1420" w:type="dxa"/>
                  <w:tcBorders>
                    <w:top w:val="nil"/>
                    <w:left w:val="nil"/>
                    <w:bottom w:val="single" w:sz="4" w:space="0" w:color="auto"/>
                    <w:right w:val="single" w:sz="4" w:space="0" w:color="auto"/>
                  </w:tcBorders>
                  <w:vAlign w:val="center"/>
                  <w:hideMark/>
                </w:tcPr>
                <w:p w14:paraId="78CFCFB4" w14:textId="77777777" w:rsidR="001A3F8D" w:rsidRPr="001A3F8D" w:rsidRDefault="001A3F8D" w:rsidP="001A3F8D">
                  <w:pPr>
                    <w:tabs>
                      <w:tab w:val="clear" w:pos="567"/>
                    </w:tabs>
                    <w:spacing w:after="0" w:line="240" w:lineRule="auto"/>
                    <w:jc w:val="center"/>
                    <w:rPr>
                      <w:rFonts w:cs="Calibri"/>
                      <w:color w:val="auto"/>
                      <w:szCs w:val="22"/>
                      <w:lang w:eastAsia="en-GB"/>
                    </w:rPr>
                  </w:pPr>
                  <w:r w:rsidRPr="001A3F8D">
                    <w:rPr>
                      <w:rFonts w:cs="Calibri"/>
                      <w:color w:val="auto"/>
                      <w:szCs w:val="22"/>
                      <w:lang w:eastAsia="en-GB"/>
                    </w:rPr>
                    <w:t>●</w:t>
                  </w:r>
                </w:p>
              </w:tc>
              <w:tc>
                <w:tcPr>
                  <w:tcW w:w="1420" w:type="dxa"/>
                  <w:tcBorders>
                    <w:top w:val="nil"/>
                    <w:left w:val="nil"/>
                    <w:bottom w:val="single" w:sz="4" w:space="0" w:color="auto"/>
                    <w:right w:val="single" w:sz="4" w:space="0" w:color="auto"/>
                  </w:tcBorders>
                  <w:vAlign w:val="center"/>
                  <w:hideMark/>
                </w:tcPr>
                <w:p w14:paraId="576033C9" w14:textId="77777777" w:rsidR="001A3F8D" w:rsidRPr="001A3F8D" w:rsidRDefault="001A3F8D" w:rsidP="001A3F8D">
                  <w:pPr>
                    <w:tabs>
                      <w:tab w:val="clear" w:pos="567"/>
                    </w:tabs>
                    <w:spacing w:after="0" w:line="240" w:lineRule="auto"/>
                    <w:jc w:val="left"/>
                    <w:rPr>
                      <w:rFonts w:cs="Calibri"/>
                      <w:color w:val="auto"/>
                      <w:szCs w:val="22"/>
                      <w:lang w:eastAsia="en-GB"/>
                    </w:rPr>
                  </w:pPr>
                  <w:r w:rsidRPr="001A3F8D">
                    <w:rPr>
                      <w:rFonts w:cs="Calibri"/>
                      <w:color w:val="auto"/>
                      <w:szCs w:val="22"/>
                      <w:lang w:eastAsia="en-GB"/>
                    </w:rPr>
                    <w:t>NA</w:t>
                  </w:r>
                </w:p>
              </w:tc>
            </w:tr>
            <w:tr w:rsidR="001A3F8D" w:rsidRPr="001A3F8D" w14:paraId="0E6CC244" w14:textId="77777777" w:rsidTr="001A3F8D">
              <w:trPr>
                <w:trHeight w:val="345"/>
              </w:trPr>
              <w:tc>
                <w:tcPr>
                  <w:tcW w:w="1420" w:type="dxa"/>
                  <w:vMerge/>
                  <w:tcBorders>
                    <w:top w:val="nil"/>
                    <w:left w:val="single" w:sz="4" w:space="0" w:color="auto"/>
                    <w:bottom w:val="single" w:sz="4" w:space="0" w:color="auto"/>
                    <w:right w:val="single" w:sz="4" w:space="0" w:color="auto"/>
                  </w:tcBorders>
                  <w:vAlign w:val="center"/>
                  <w:hideMark/>
                </w:tcPr>
                <w:p w14:paraId="09165D98" w14:textId="77777777" w:rsidR="001A3F8D" w:rsidRPr="001A3F8D" w:rsidRDefault="001A3F8D" w:rsidP="001A3F8D">
                  <w:pPr>
                    <w:tabs>
                      <w:tab w:val="clear" w:pos="567"/>
                    </w:tabs>
                    <w:spacing w:after="0" w:line="240" w:lineRule="auto"/>
                    <w:jc w:val="left"/>
                    <w:rPr>
                      <w:rFonts w:cs="Calibri"/>
                      <w:b/>
                      <w:bCs/>
                      <w:szCs w:val="22"/>
                      <w:lang w:eastAsia="en-GB"/>
                    </w:rPr>
                  </w:pPr>
                </w:p>
              </w:tc>
              <w:tc>
                <w:tcPr>
                  <w:tcW w:w="1420" w:type="dxa"/>
                  <w:tcBorders>
                    <w:top w:val="nil"/>
                    <w:left w:val="nil"/>
                    <w:bottom w:val="single" w:sz="4" w:space="0" w:color="auto"/>
                    <w:right w:val="single" w:sz="4" w:space="0" w:color="auto"/>
                  </w:tcBorders>
                  <w:vAlign w:val="center"/>
                  <w:hideMark/>
                </w:tcPr>
                <w:p w14:paraId="3A1157ED" w14:textId="77777777" w:rsidR="001A3F8D" w:rsidRPr="001A3F8D" w:rsidRDefault="001A3F8D" w:rsidP="001A3F8D">
                  <w:pPr>
                    <w:tabs>
                      <w:tab w:val="clear" w:pos="567"/>
                    </w:tabs>
                    <w:spacing w:after="0" w:line="240" w:lineRule="auto"/>
                    <w:jc w:val="center"/>
                    <w:rPr>
                      <w:rFonts w:cs="Calibri"/>
                      <w:b/>
                      <w:bCs/>
                      <w:szCs w:val="22"/>
                      <w:lang w:eastAsia="en-GB"/>
                    </w:rPr>
                  </w:pPr>
                  <w:r w:rsidRPr="001A3F8D">
                    <w:rPr>
                      <w:rFonts w:cs="Calibri"/>
                      <w:b/>
                      <w:bCs/>
                      <w:szCs w:val="22"/>
                      <w:lang w:eastAsia="en-GB"/>
                    </w:rPr>
                    <w:t>II</w:t>
                  </w:r>
                </w:p>
              </w:tc>
              <w:tc>
                <w:tcPr>
                  <w:tcW w:w="1420" w:type="dxa"/>
                  <w:tcBorders>
                    <w:top w:val="nil"/>
                    <w:left w:val="nil"/>
                    <w:bottom w:val="single" w:sz="4" w:space="0" w:color="auto"/>
                    <w:right w:val="single" w:sz="4" w:space="0" w:color="auto"/>
                  </w:tcBorders>
                  <w:vAlign w:val="center"/>
                  <w:hideMark/>
                </w:tcPr>
                <w:p w14:paraId="4666F26B" w14:textId="77777777" w:rsidR="001A3F8D" w:rsidRPr="001A3F8D" w:rsidRDefault="001A3F8D" w:rsidP="001A3F8D">
                  <w:pPr>
                    <w:tabs>
                      <w:tab w:val="clear" w:pos="567"/>
                    </w:tabs>
                    <w:spacing w:after="0" w:line="240" w:lineRule="auto"/>
                    <w:rPr>
                      <w:rFonts w:cs="Calibri"/>
                      <w:color w:val="333333"/>
                      <w:sz w:val="21"/>
                      <w:szCs w:val="21"/>
                      <w:lang w:eastAsia="en-GB"/>
                    </w:rPr>
                  </w:pPr>
                  <w:r w:rsidRPr="001A3F8D">
                    <w:rPr>
                      <w:rFonts w:cs="Calibri"/>
                      <w:color w:val="333333"/>
                      <w:sz w:val="21"/>
                      <w:szCs w:val="21"/>
                      <w:lang w:eastAsia="en-GB"/>
                    </w:rPr>
                    <w:t>↓</w:t>
                  </w:r>
                  <w:r w:rsidRPr="001A3F8D">
                    <w:rPr>
                      <w:rFonts w:cs="Calibri"/>
                      <w:color w:val="333333"/>
                      <w:sz w:val="21"/>
                      <w:szCs w:val="21"/>
                      <w:vertAlign w:val="superscript"/>
                      <w:lang w:eastAsia="en-GB"/>
                    </w:rPr>
                    <w:t>1,5</w:t>
                  </w:r>
                </w:p>
              </w:tc>
              <w:tc>
                <w:tcPr>
                  <w:tcW w:w="1420" w:type="dxa"/>
                  <w:tcBorders>
                    <w:top w:val="nil"/>
                    <w:left w:val="nil"/>
                    <w:bottom w:val="single" w:sz="4" w:space="0" w:color="auto"/>
                    <w:right w:val="single" w:sz="4" w:space="0" w:color="auto"/>
                  </w:tcBorders>
                  <w:vAlign w:val="center"/>
                  <w:hideMark/>
                </w:tcPr>
                <w:p w14:paraId="766ECC1C" w14:textId="77777777" w:rsidR="001A3F8D" w:rsidRPr="001A3F8D" w:rsidRDefault="001A3F8D" w:rsidP="001A3F8D">
                  <w:pPr>
                    <w:tabs>
                      <w:tab w:val="clear" w:pos="567"/>
                    </w:tabs>
                    <w:spacing w:after="0" w:line="240" w:lineRule="auto"/>
                    <w:rPr>
                      <w:rFonts w:cs="Calibri"/>
                      <w:color w:val="333333"/>
                      <w:sz w:val="21"/>
                      <w:szCs w:val="21"/>
                      <w:lang w:eastAsia="en-GB"/>
                    </w:rPr>
                  </w:pPr>
                  <w:r w:rsidRPr="001A3F8D">
                    <w:rPr>
                      <w:rFonts w:cs="Calibri"/>
                      <w:color w:val="333333"/>
                      <w:sz w:val="21"/>
                      <w:szCs w:val="21"/>
                      <w:lang w:eastAsia="en-GB"/>
                    </w:rPr>
                    <w:t>↓</w:t>
                  </w:r>
                  <w:r w:rsidRPr="001A3F8D">
                    <w:rPr>
                      <w:rFonts w:cs="Calibri"/>
                      <w:color w:val="333333"/>
                      <w:sz w:val="21"/>
                      <w:szCs w:val="21"/>
                      <w:vertAlign w:val="superscript"/>
                      <w:lang w:eastAsia="en-GB"/>
                    </w:rPr>
                    <w:t>1,5</w:t>
                  </w:r>
                </w:p>
              </w:tc>
              <w:tc>
                <w:tcPr>
                  <w:tcW w:w="1420" w:type="dxa"/>
                  <w:tcBorders>
                    <w:top w:val="nil"/>
                    <w:left w:val="nil"/>
                    <w:bottom w:val="single" w:sz="4" w:space="0" w:color="auto"/>
                    <w:right w:val="single" w:sz="4" w:space="0" w:color="auto"/>
                  </w:tcBorders>
                  <w:vAlign w:val="center"/>
                  <w:hideMark/>
                </w:tcPr>
                <w:p w14:paraId="139934D4" w14:textId="77777777" w:rsidR="001A3F8D" w:rsidRPr="001A3F8D" w:rsidRDefault="001A3F8D" w:rsidP="001A3F8D">
                  <w:pPr>
                    <w:tabs>
                      <w:tab w:val="clear" w:pos="567"/>
                    </w:tabs>
                    <w:spacing w:after="0" w:line="240" w:lineRule="auto"/>
                    <w:rPr>
                      <w:rFonts w:cs="Calibri"/>
                      <w:color w:val="333333"/>
                      <w:sz w:val="21"/>
                      <w:szCs w:val="21"/>
                      <w:lang w:eastAsia="en-GB"/>
                    </w:rPr>
                  </w:pPr>
                  <w:r w:rsidRPr="001A3F8D">
                    <w:rPr>
                      <w:rFonts w:cs="Calibri"/>
                      <w:color w:val="333333"/>
                      <w:sz w:val="21"/>
                      <w:szCs w:val="21"/>
                      <w:lang w:eastAsia="en-GB"/>
                    </w:rPr>
                    <w:t>↓</w:t>
                  </w:r>
                  <w:r w:rsidRPr="001A3F8D">
                    <w:rPr>
                      <w:rFonts w:cs="Calibri"/>
                      <w:color w:val="333333"/>
                      <w:sz w:val="21"/>
                      <w:szCs w:val="21"/>
                      <w:vertAlign w:val="superscript"/>
                      <w:lang w:eastAsia="en-GB"/>
                    </w:rPr>
                    <w:t>1,5</w:t>
                  </w:r>
                </w:p>
              </w:tc>
              <w:tc>
                <w:tcPr>
                  <w:tcW w:w="1420" w:type="dxa"/>
                  <w:tcBorders>
                    <w:top w:val="nil"/>
                    <w:left w:val="nil"/>
                    <w:bottom w:val="single" w:sz="4" w:space="0" w:color="auto"/>
                    <w:right w:val="single" w:sz="4" w:space="0" w:color="auto"/>
                  </w:tcBorders>
                  <w:vAlign w:val="center"/>
                  <w:hideMark/>
                </w:tcPr>
                <w:p w14:paraId="778C56CB" w14:textId="77777777" w:rsidR="001A3F8D" w:rsidRPr="001A3F8D" w:rsidRDefault="001A3F8D" w:rsidP="001A3F8D">
                  <w:pPr>
                    <w:tabs>
                      <w:tab w:val="clear" w:pos="567"/>
                    </w:tabs>
                    <w:spacing w:after="0" w:line="240" w:lineRule="auto"/>
                    <w:jc w:val="center"/>
                    <w:rPr>
                      <w:rFonts w:cs="Calibri"/>
                      <w:color w:val="auto"/>
                      <w:szCs w:val="22"/>
                      <w:lang w:eastAsia="en-GB"/>
                    </w:rPr>
                  </w:pPr>
                  <w:r w:rsidRPr="001A3F8D">
                    <w:rPr>
                      <w:rFonts w:cs="Calibri"/>
                      <w:color w:val="auto"/>
                      <w:szCs w:val="22"/>
                      <w:lang w:eastAsia="en-GB"/>
                    </w:rPr>
                    <w:t>●</w:t>
                  </w:r>
                </w:p>
              </w:tc>
              <w:tc>
                <w:tcPr>
                  <w:tcW w:w="1420" w:type="dxa"/>
                  <w:tcBorders>
                    <w:top w:val="nil"/>
                    <w:left w:val="nil"/>
                    <w:bottom w:val="single" w:sz="4" w:space="0" w:color="auto"/>
                    <w:right w:val="single" w:sz="4" w:space="0" w:color="auto"/>
                  </w:tcBorders>
                  <w:shd w:val="clear" w:color="000000" w:fill="FF0000"/>
                  <w:vAlign w:val="center"/>
                  <w:hideMark/>
                </w:tcPr>
                <w:p w14:paraId="5DEAA946" w14:textId="77777777" w:rsidR="001A3F8D" w:rsidRPr="001A3F8D" w:rsidRDefault="001A3F8D" w:rsidP="001A3F8D">
                  <w:pPr>
                    <w:tabs>
                      <w:tab w:val="clear" w:pos="567"/>
                    </w:tabs>
                    <w:spacing w:after="0" w:line="240" w:lineRule="auto"/>
                    <w:jc w:val="left"/>
                    <w:rPr>
                      <w:rFonts w:cs="Calibri"/>
                      <w:b/>
                      <w:bCs/>
                      <w:color w:val="000000"/>
                      <w:szCs w:val="22"/>
                      <w:lang w:eastAsia="en-GB"/>
                    </w:rPr>
                  </w:pPr>
                  <w:r w:rsidRPr="001A3F8D">
                    <w:rPr>
                      <w:rFonts w:cs="Calibri"/>
                      <w:b/>
                      <w:bCs/>
                      <w:color w:val="000000"/>
                      <w:szCs w:val="22"/>
                      <w:lang w:eastAsia="en-GB"/>
                    </w:rPr>
                    <w:t>Poor</w:t>
                  </w:r>
                </w:p>
              </w:tc>
            </w:tr>
            <w:tr w:rsidR="001A3F8D" w:rsidRPr="001A3F8D" w14:paraId="322372FC" w14:textId="77777777" w:rsidTr="001A3F8D">
              <w:trPr>
                <w:trHeight w:val="345"/>
              </w:trPr>
              <w:tc>
                <w:tcPr>
                  <w:tcW w:w="1420" w:type="dxa"/>
                  <w:vMerge/>
                  <w:tcBorders>
                    <w:top w:val="nil"/>
                    <w:left w:val="single" w:sz="4" w:space="0" w:color="auto"/>
                    <w:bottom w:val="single" w:sz="4" w:space="0" w:color="auto"/>
                    <w:right w:val="single" w:sz="4" w:space="0" w:color="auto"/>
                  </w:tcBorders>
                  <w:vAlign w:val="center"/>
                  <w:hideMark/>
                </w:tcPr>
                <w:p w14:paraId="7D656A64" w14:textId="77777777" w:rsidR="001A3F8D" w:rsidRPr="001A3F8D" w:rsidRDefault="001A3F8D" w:rsidP="001A3F8D">
                  <w:pPr>
                    <w:tabs>
                      <w:tab w:val="clear" w:pos="567"/>
                    </w:tabs>
                    <w:spacing w:after="0" w:line="240" w:lineRule="auto"/>
                    <w:jc w:val="left"/>
                    <w:rPr>
                      <w:rFonts w:cs="Calibri"/>
                      <w:b/>
                      <w:bCs/>
                      <w:szCs w:val="22"/>
                      <w:lang w:eastAsia="en-GB"/>
                    </w:rPr>
                  </w:pPr>
                </w:p>
              </w:tc>
              <w:tc>
                <w:tcPr>
                  <w:tcW w:w="1420" w:type="dxa"/>
                  <w:tcBorders>
                    <w:top w:val="nil"/>
                    <w:left w:val="nil"/>
                    <w:bottom w:val="single" w:sz="4" w:space="0" w:color="auto"/>
                    <w:right w:val="single" w:sz="4" w:space="0" w:color="auto"/>
                  </w:tcBorders>
                  <w:vAlign w:val="center"/>
                  <w:hideMark/>
                </w:tcPr>
                <w:p w14:paraId="36AF674E" w14:textId="77777777" w:rsidR="001A3F8D" w:rsidRPr="001A3F8D" w:rsidRDefault="001A3F8D" w:rsidP="001A3F8D">
                  <w:pPr>
                    <w:tabs>
                      <w:tab w:val="clear" w:pos="567"/>
                    </w:tabs>
                    <w:spacing w:after="0" w:line="240" w:lineRule="auto"/>
                    <w:jc w:val="center"/>
                    <w:rPr>
                      <w:rFonts w:cs="Calibri"/>
                      <w:b/>
                      <w:bCs/>
                      <w:szCs w:val="22"/>
                      <w:lang w:eastAsia="en-GB"/>
                    </w:rPr>
                  </w:pPr>
                  <w:r w:rsidRPr="001A3F8D">
                    <w:rPr>
                      <w:rFonts w:cs="Calibri"/>
                      <w:b/>
                      <w:bCs/>
                      <w:szCs w:val="22"/>
                      <w:lang w:eastAsia="en-GB"/>
                    </w:rPr>
                    <w:t>III</w:t>
                  </w:r>
                </w:p>
              </w:tc>
              <w:tc>
                <w:tcPr>
                  <w:tcW w:w="1420" w:type="dxa"/>
                  <w:tcBorders>
                    <w:top w:val="nil"/>
                    <w:left w:val="nil"/>
                    <w:bottom w:val="single" w:sz="4" w:space="0" w:color="auto"/>
                    <w:right w:val="single" w:sz="4" w:space="0" w:color="auto"/>
                  </w:tcBorders>
                  <w:vAlign w:val="center"/>
                  <w:hideMark/>
                </w:tcPr>
                <w:p w14:paraId="021AE140" w14:textId="77777777" w:rsidR="001A3F8D" w:rsidRPr="001A3F8D" w:rsidRDefault="001A3F8D" w:rsidP="001A3F8D">
                  <w:pPr>
                    <w:tabs>
                      <w:tab w:val="clear" w:pos="567"/>
                    </w:tabs>
                    <w:spacing w:after="0" w:line="240" w:lineRule="auto"/>
                    <w:rPr>
                      <w:rFonts w:cs="Calibri"/>
                      <w:color w:val="333333"/>
                      <w:sz w:val="21"/>
                      <w:szCs w:val="21"/>
                      <w:lang w:eastAsia="en-GB"/>
                    </w:rPr>
                  </w:pPr>
                  <w:r w:rsidRPr="001A3F8D">
                    <w:rPr>
                      <w:rFonts w:cs="Calibri"/>
                      <w:color w:val="333333"/>
                      <w:sz w:val="21"/>
                      <w:szCs w:val="21"/>
                      <w:lang w:eastAsia="en-GB"/>
                    </w:rPr>
                    <w:t>←→ </w:t>
                  </w:r>
                  <w:r w:rsidRPr="001A3F8D">
                    <w:rPr>
                      <w:rFonts w:cs="Calibri"/>
                      <w:color w:val="333333"/>
                      <w:sz w:val="21"/>
                      <w:szCs w:val="21"/>
                      <w:vertAlign w:val="superscript"/>
                      <w:lang w:eastAsia="en-GB"/>
                    </w:rPr>
                    <w:t>1,5</w:t>
                  </w:r>
                </w:p>
              </w:tc>
              <w:tc>
                <w:tcPr>
                  <w:tcW w:w="1420" w:type="dxa"/>
                  <w:tcBorders>
                    <w:top w:val="nil"/>
                    <w:left w:val="nil"/>
                    <w:bottom w:val="single" w:sz="4" w:space="0" w:color="auto"/>
                    <w:right w:val="single" w:sz="4" w:space="0" w:color="auto"/>
                  </w:tcBorders>
                  <w:vAlign w:val="center"/>
                  <w:hideMark/>
                </w:tcPr>
                <w:p w14:paraId="5C3FF36B" w14:textId="77777777" w:rsidR="001A3F8D" w:rsidRPr="001A3F8D" w:rsidRDefault="001A3F8D" w:rsidP="001A3F8D">
                  <w:pPr>
                    <w:tabs>
                      <w:tab w:val="clear" w:pos="567"/>
                    </w:tabs>
                    <w:spacing w:after="0" w:line="240" w:lineRule="auto"/>
                    <w:rPr>
                      <w:rFonts w:cs="Calibri"/>
                      <w:color w:val="333333"/>
                      <w:sz w:val="21"/>
                      <w:szCs w:val="21"/>
                      <w:lang w:eastAsia="en-GB"/>
                    </w:rPr>
                  </w:pPr>
                  <w:r w:rsidRPr="001A3F8D">
                    <w:rPr>
                      <w:rFonts w:cs="Calibri"/>
                      <w:color w:val="333333"/>
                      <w:sz w:val="21"/>
                      <w:szCs w:val="21"/>
                      <w:lang w:eastAsia="en-GB"/>
                    </w:rPr>
                    <w:t>↓</w:t>
                  </w:r>
                  <w:r w:rsidRPr="001A3F8D">
                    <w:rPr>
                      <w:rFonts w:cs="Calibri"/>
                      <w:color w:val="333333"/>
                      <w:sz w:val="21"/>
                      <w:szCs w:val="21"/>
                      <w:vertAlign w:val="superscript"/>
                      <w:lang w:eastAsia="en-GB"/>
                    </w:rPr>
                    <w:t>1,5</w:t>
                  </w:r>
                </w:p>
              </w:tc>
              <w:tc>
                <w:tcPr>
                  <w:tcW w:w="1420" w:type="dxa"/>
                  <w:tcBorders>
                    <w:top w:val="nil"/>
                    <w:left w:val="nil"/>
                    <w:bottom w:val="single" w:sz="4" w:space="0" w:color="auto"/>
                    <w:right w:val="single" w:sz="4" w:space="0" w:color="auto"/>
                  </w:tcBorders>
                  <w:vAlign w:val="center"/>
                  <w:hideMark/>
                </w:tcPr>
                <w:p w14:paraId="1C6A3F4B" w14:textId="77777777" w:rsidR="001A3F8D" w:rsidRPr="001A3F8D" w:rsidRDefault="001A3F8D" w:rsidP="001A3F8D">
                  <w:pPr>
                    <w:tabs>
                      <w:tab w:val="clear" w:pos="567"/>
                    </w:tabs>
                    <w:spacing w:after="0" w:line="240" w:lineRule="auto"/>
                    <w:rPr>
                      <w:rFonts w:cs="Calibri"/>
                      <w:b/>
                      <w:bCs/>
                      <w:color w:val="333333"/>
                      <w:sz w:val="21"/>
                      <w:szCs w:val="21"/>
                      <w:lang w:eastAsia="en-GB"/>
                    </w:rPr>
                  </w:pPr>
                  <w:r w:rsidRPr="001A3F8D">
                    <w:rPr>
                      <w:rFonts w:cs="Calibri"/>
                      <w:b/>
                      <w:bCs/>
                      <w:color w:val="333333"/>
                      <w:sz w:val="21"/>
                      <w:szCs w:val="21"/>
                      <w:lang w:eastAsia="en-GB"/>
                    </w:rPr>
                    <w:t>?</w:t>
                  </w:r>
                  <w:r w:rsidRPr="001A3F8D">
                    <w:rPr>
                      <w:rFonts w:cs="Calibri"/>
                      <w:color w:val="333333"/>
                      <w:sz w:val="21"/>
                      <w:szCs w:val="21"/>
                      <w:vertAlign w:val="superscript"/>
                      <w:lang w:eastAsia="en-GB"/>
                    </w:rPr>
                    <w:t>1,5</w:t>
                  </w:r>
                </w:p>
              </w:tc>
              <w:tc>
                <w:tcPr>
                  <w:tcW w:w="1420" w:type="dxa"/>
                  <w:tcBorders>
                    <w:top w:val="nil"/>
                    <w:left w:val="nil"/>
                    <w:bottom w:val="single" w:sz="4" w:space="0" w:color="auto"/>
                    <w:right w:val="single" w:sz="4" w:space="0" w:color="auto"/>
                  </w:tcBorders>
                  <w:vAlign w:val="center"/>
                  <w:hideMark/>
                </w:tcPr>
                <w:p w14:paraId="330AEE8C" w14:textId="77777777" w:rsidR="001A3F8D" w:rsidRPr="001A3F8D" w:rsidRDefault="001A3F8D" w:rsidP="001A3F8D">
                  <w:pPr>
                    <w:tabs>
                      <w:tab w:val="clear" w:pos="567"/>
                    </w:tabs>
                    <w:spacing w:after="0" w:line="240" w:lineRule="auto"/>
                    <w:jc w:val="center"/>
                    <w:rPr>
                      <w:rFonts w:cs="Calibri"/>
                      <w:color w:val="auto"/>
                      <w:szCs w:val="22"/>
                      <w:lang w:eastAsia="en-GB"/>
                    </w:rPr>
                  </w:pPr>
                  <w:r w:rsidRPr="001A3F8D">
                    <w:rPr>
                      <w:rFonts w:cs="Calibri"/>
                      <w:color w:val="auto"/>
                      <w:szCs w:val="22"/>
                      <w:lang w:eastAsia="en-GB"/>
                    </w:rPr>
                    <w:t>●</w:t>
                  </w:r>
                </w:p>
              </w:tc>
              <w:tc>
                <w:tcPr>
                  <w:tcW w:w="1420" w:type="dxa"/>
                  <w:tcBorders>
                    <w:top w:val="nil"/>
                    <w:left w:val="nil"/>
                    <w:bottom w:val="single" w:sz="4" w:space="0" w:color="auto"/>
                    <w:right w:val="single" w:sz="4" w:space="0" w:color="auto"/>
                  </w:tcBorders>
                  <w:shd w:val="clear" w:color="000000" w:fill="FF0000"/>
                  <w:vAlign w:val="center"/>
                  <w:hideMark/>
                </w:tcPr>
                <w:p w14:paraId="456E4395" w14:textId="77777777" w:rsidR="001A3F8D" w:rsidRPr="001A3F8D" w:rsidRDefault="001A3F8D" w:rsidP="001A3F8D">
                  <w:pPr>
                    <w:tabs>
                      <w:tab w:val="clear" w:pos="567"/>
                    </w:tabs>
                    <w:spacing w:after="0" w:line="240" w:lineRule="auto"/>
                    <w:jc w:val="left"/>
                    <w:rPr>
                      <w:rFonts w:cs="Calibri"/>
                      <w:b/>
                      <w:bCs/>
                      <w:color w:val="000000"/>
                      <w:szCs w:val="22"/>
                      <w:lang w:eastAsia="en-GB"/>
                    </w:rPr>
                  </w:pPr>
                  <w:r w:rsidRPr="001A3F8D">
                    <w:rPr>
                      <w:rFonts w:cs="Calibri"/>
                      <w:b/>
                      <w:bCs/>
                      <w:color w:val="000000"/>
                      <w:szCs w:val="22"/>
                      <w:lang w:eastAsia="en-GB"/>
                    </w:rPr>
                    <w:t>Poor</w:t>
                  </w:r>
                </w:p>
              </w:tc>
            </w:tr>
            <w:tr w:rsidR="001A3F8D" w:rsidRPr="001A3F8D" w14:paraId="364008B2" w14:textId="77777777" w:rsidTr="001A3F8D">
              <w:trPr>
                <w:trHeight w:val="315"/>
              </w:trPr>
              <w:tc>
                <w:tcPr>
                  <w:tcW w:w="1420" w:type="dxa"/>
                  <w:vMerge/>
                  <w:tcBorders>
                    <w:top w:val="nil"/>
                    <w:left w:val="single" w:sz="4" w:space="0" w:color="auto"/>
                    <w:bottom w:val="single" w:sz="4" w:space="0" w:color="auto"/>
                    <w:right w:val="single" w:sz="4" w:space="0" w:color="auto"/>
                  </w:tcBorders>
                  <w:vAlign w:val="center"/>
                  <w:hideMark/>
                </w:tcPr>
                <w:p w14:paraId="14FF0ECF" w14:textId="77777777" w:rsidR="001A3F8D" w:rsidRPr="001A3F8D" w:rsidRDefault="001A3F8D" w:rsidP="001A3F8D">
                  <w:pPr>
                    <w:tabs>
                      <w:tab w:val="clear" w:pos="567"/>
                    </w:tabs>
                    <w:spacing w:after="0" w:line="240" w:lineRule="auto"/>
                    <w:jc w:val="left"/>
                    <w:rPr>
                      <w:rFonts w:cs="Calibri"/>
                      <w:b/>
                      <w:bCs/>
                      <w:szCs w:val="22"/>
                      <w:lang w:eastAsia="en-GB"/>
                    </w:rPr>
                  </w:pPr>
                </w:p>
              </w:tc>
              <w:tc>
                <w:tcPr>
                  <w:tcW w:w="1420" w:type="dxa"/>
                  <w:tcBorders>
                    <w:top w:val="nil"/>
                    <w:left w:val="nil"/>
                    <w:bottom w:val="single" w:sz="4" w:space="0" w:color="auto"/>
                    <w:right w:val="single" w:sz="4" w:space="0" w:color="auto"/>
                  </w:tcBorders>
                  <w:vAlign w:val="center"/>
                  <w:hideMark/>
                </w:tcPr>
                <w:p w14:paraId="17E7C5D6" w14:textId="77777777" w:rsidR="001A3F8D" w:rsidRPr="001A3F8D" w:rsidRDefault="001A3F8D" w:rsidP="001A3F8D">
                  <w:pPr>
                    <w:tabs>
                      <w:tab w:val="clear" w:pos="567"/>
                    </w:tabs>
                    <w:spacing w:after="0" w:line="240" w:lineRule="auto"/>
                    <w:jc w:val="center"/>
                    <w:rPr>
                      <w:rFonts w:cs="Calibri"/>
                      <w:b/>
                      <w:bCs/>
                      <w:szCs w:val="22"/>
                      <w:lang w:eastAsia="en-GB"/>
                    </w:rPr>
                  </w:pPr>
                  <w:r w:rsidRPr="001A3F8D">
                    <w:rPr>
                      <w:rFonts w:cs="Calibri"/>
                      <w:b/>
                      <w:bCs/>
                      <w:szCs w:val="22"/>
                      <w:lang w:eastAsia="en-GB"/>
                    </w:rPr>
                    <w:t>IV</w:t>
                  </w:r>
                </w:p>
              </w:tc>
              <w:tc>
                <w:tcPr>
                  <w:tcW w:w="1420" w:type="dxa"/>
                  <w:tcBorders>
                    <w:top w:val="nil"/>
                    <w:left w:val="nil"/>
                    <w:bottom w:val="single" w:sz="4" w:space="0" w:color="auto"/>
                    <w:right w:val="single" w:sz="4" w:space="0" w:color="auto"/>
                  </w:tcBorders>
                  <w:vAlign w:val="center"/>
                  <w:hideMark/>
                </w:tcPr>
                <w:p w14:paraId="319D63C8" w14:textId="77777777" w:rsidR="001A3F8D" w:rsidRPr="001A3F8D" w:rsidRDefault="001A3F8D" w:rsidP="001A3F8D">
                  <w:pPr>
                    <w:tabs>
                      <w:tab w:val="clear" w:pos="567"/>
                    </w:tabs>
                    <w:spacing w:after="0" w:line="240" w:lineRule="auto"/>
                    <w:rPr>
                      <w:rFonts w:cs="Calibri"/>
                      <w:color w:val="auto"/>
                      <w:szCs w:val="22"/>
                      <w:lang w:eastAsia="en-GB"/>
                    </w:rPr>
                  </w:pPr>
                  <w:r w:rsidRPr="001A3F8D">
                    <w:rPr>
                      <w:rFonts w:cs="Calibri"/>
                      <w:color w:val="auto"/>
                      <w:szCs w:val="22"/>
                      <w:lang w:eastAsia="en-GB"/>
                    </w:rPr>
                    <w:t> </w:t>
                  </w:r>
                </w:p>
              </w:tc>
              <w:tc>
                <w:tcPr>
                  <w:tcW w:w="1420" w:type="dxa"/>
                  <w:tcBorders>
                    <w:top w:val="nil"/>
                    <w:left w:val="nil"/>
                    <w:bottom w:val="single" w:sz="4" w:space="0" w:color="auto"/>
                    <w:right w:val="single" w:sz="4" w:space="0" w:color="auto"/>
                  </w:tcBorders>
                  <w:vAlign w:val="center"/>
                  <w:hideMark/>
                </w:tcPr>
                <w:p w14:paraId="7E09BC9B" w14:textId="77777777" w:rsidR="001A3F8D" w:rsidRPr="001A3F8D" w:rsidRDefault="001A3F8D" w:rsidP="001A3F8D">
                  <w:pPr>
                    <w:tabs>
                      <w:tab w:val="clear" w:pos="567"/>
                    </w:tabs>
                    <w:spacing w:after="0" w:line="240" w:lineRule="auto"/>
                    <w:rPr>
                      <w:rFonts w:cs="Calibri"/>
                      <w:color w:val="auto"/>
                      <w:szCs w:val="22"/>
                      <w:lang w:eastAsia="en-GB"/>
                    </w:rPr>
                  </w:pPr>
                  <w:r w:rsidRPr="001A3F8D">
                    <w:rPr>
                      <w:rFonts w:cs="Calibri"/>
                      <w:color w:val="auto"/>
                      <w:szCs w:val="22"/>
                      <w:lang w:eastAsia="en-GB"/>
                    </w:rPr>
                    <w:t> </w:t>
                  </w:r>
                </w:p>
              </w:tc>
              <w:tc>
                <w:tcPr>
                  <w:tcW w:w="1420" w:type="dxa"/>
                  <w:tcBorders>
                    <w:top w:val="nil"/>
                    <w:left w:val="nil"/>
                    <w:bottom w:val="single" w:sz="4" w:space="0" w:color="auto"/>
                    <w:right w:val="single" w:sz="4" w:space="0" w:color="auto"/>
                  </w:tcBorders>
                  <w:vAlign w:val="center"/>
                  <w:hideMark/>
                </w:tcPr>
                <w:p w14:paraId="5695750D" w14:textId="77777777" w:rsidR="001A3F8D" w:rsidRPr="001A3F8D" w:rsidRDefault="001A3F8D" w:rsidP="001A3F8D">
                  <w:pPr>
                    <w:tabs>
                      <w:tab w:val="clear" w:pos="567"/>
                    </w:tabs>
                    <w:spacing w:after="0" w:line="240" w:lineRule="auto"/>
                    <w:rPr>
                      <w:rFonts w:cs="Calibri"/>
                      <w:color w:val="auto"/>
                      <w:szCs w:val="22"/>
                      <w:lang w:eastAsia="en-GB"/>
                    </w:rPr>
                  </w:pPr>
                  <w:r w:rsidRPr="001A3F8D">
                    <w:rPr>
                      <w:rFonts w:cs="Calibri"/>
                      <w:color w:val="auto"/>
                      <w:szCs w:val="22"/>
                      <w:lang w:eastAsia="en-GB"/>
                    </w:rPr>
                    <w:t> </w:t>
                  </w:r>
                </w:p>
              </w:tc>
              <w:tc>
                <w:tcPr>
                  <w:tcW w:w="1420" w:type="dxa"/>
                  <w:tcBorders>
                    <w:top w:val="nil"/>
                    <w:left w:val="nil"/>
                    <w:bottom w:val="single" w:sz="4" w:space="0" w:color="auto"/>
                    <w:right w:val="single" w:sz="4" w:space="0" w:color="auto"/>
                  </w:tcBorders>
                  <w:vAlign w:val="center"/>
                  <w:hideMark/>
                </w:tcPr>
                <w:p w14:paraId="3EB85F8B" w14:textId="77777777" w:rsidR="001A3F8D" w:rsidRPr="001A3F8D" w:rsidRDefault="001A3F8D" w:rsidP="001A3F8D">
                  <w:pPr>
                    <w:tabs>
                      <w:tab w:val="clear" w:pos="567"/>
                    </w:tabs>
                    <w:spacing w:after="0" w:line="240" w:lineRule="auto"/>
                    <w:jc w:val="center"/>
                    <w:rPr>
                      <w:rFonts w:cs="Calibri"/>
                      <w:color w:val="auto"/>
                      <w:szCs w:val="22"/>
                      <w:lang w:eastAsia="en-GB"/>
                    </w:rPr>
                  </w:pPr>
                  <w:r w:rsidRPr="001A3F8D">
                    <w:rPr>
                      <w:rFonts w:cs="Calibri"/>
                      <w:color w:val="auto"/>
                      <w:szCs w:val="22"/>
                      <w:lang w:eastAsia="en-GB"/>
                    </w:rPr>
                    <w:t>●</w:t>
                  </w:r>
                </w:p>
              </w:tc>
              <w:tc>
                <w:tcPr>
                  <w:tcW w:w="1420" w:type="dxa"/>
                  <w:tcBorders>
                    <w:top w:val="nil"/>
                    <w:left w:val="nil"/>
                    <w:bottom w:val="single" w:sz="4" w:space="0" w:color="auto"/>
                    <w:right w:val="single" w:sz="4" w:space="0" w:color="auto"/>
                  </w:tcBorders>
                  <w:vAlign w:val="center"/>
                  <w:hideMark/>
                </w:tcPr>
                <w:p w14:paraId="42363FF2" w14:textId="77777777" w:rsidR="001A3F8D" w:rsidRPr="001A3F8D" w:rsidRDefault="001A3F8D" w:rsidP="001A3F8D">
                  <w:pPr>
                    <w:tabs>
                      <w:tab w:val="clear" w:pos="567"/>
                    </w:tabs>
                    <w:spacing w:after="0" w:line="240" w:lineRule="auto"/>
                    <w:jc w:val="left"/>
                    <w:rPr>
                      <w:rFonts w:cs="Calibri"/>
                      <w:color w:val="auto"/>
                      <w:szCs w:val="22"/>
                      <w:lang w:eastAsia="en-GB"/>
                    </w:rPr>
                  </w:pPr>
                  <w:r w:rsidRPr="001A3F8D">
                    <w:rPr>
                      <w:rFonts w:cs="Calibri"/>
                      <w:color w:val="auto"/>
                      <w:szCs w:val="22"/>
                      <w:lang w:eastAsia="en-GB"/>
                    </w:rPr>
                    <w:t>NA</w:t>
                  </w:r>
                </w:p>
              </w:tc>
            </w:tr>
            <w:tr w:rsidR="001A3F8D" w:rsidRPr="001A3F8D" w14:paraId="3710F678" w14:textId="77777777" w:rsidTr="001A3F8D">
              <w:trPr>
                <w:trHeight w:val="315"/>
              </w:trPr>
              <w:tc>
                <w:tcPr>
                  <w:tcW w:w="1420" w:type="dxa"/>
                  <w:vMerge/>
                  <w:tcBorders>
                    <w:top w:val="nil"/>
                    <w:left w:val="single" w:sz="4" w:space="0" w:color="auto"/>
                    <w:bottom w:val="single" w:sz="4" w:space="0" w:color="auto"/>
                    <w:right w:val="single" w:sz="4" w:space="0" w:color="auto"/>
                  </w:tcBorders>
                  <w:vAlign w:val="center"/>
                  <w:hideMark/>
                </w:tcPr>
                <w:p w14:paraId="519A7013" w14:textId="77777777" w:rsidR="001A3F8D" w:rsidRPr="001A3F8D" w:rsidRDefault="001A3F8D" w:rsidP="001A3F8D">
                  <w:pPr>
                    <w:tabs>
                      <w:tab w:val="clear" w:pos="567"/>
                    </w:tabs>
                    <w:spacing w:after="0" w:line="240" w:lineRule="auto"/>
                    <w:jc w:val="left"/>
                    <w:rPr>
                      <w:rFonts w:cs="Calibri"/>
                      <w:b/>
                      <w:bCs/>
                      <w:szCs w:val="22"/>
                      <w:lang w:eastAsia="en-GB"/>
                    </w:rPr>
                  </w:pPr>
                </w:p>
              </w:tc>
              <w:tc>
                <w:tcPr>
                  <w:tcW w:w="1420" w:type="dxa"/>
                  <w:tcBorders>
                    <w:top w:val="nil"/>
                    <w:left w:val="nil"/>
                    <w:bottom w:val="single" w:sz="4" w:space="0" w:color="auto"/>
                    <w:right w:val="single" w:sz="4" w:space="0" w:color="auto"/>
                  </w:tcBorders>
                  <w:vAlign w:val="center"/>
                  <w:hideMark/>
                </w:tcPr>
                <w:p w14:paraId="2CCA79D2" w14:textId="77777777" w:rsidR="001A3F8D" w:rsidRPr="001A3F8D" w:rsidRDefault="001A3F8D" w:rsidP="001A3F8D">
                  <w:pPr>
                    <w:tabs>
                      <w:tab w:val="clear" w:pos="567"/>
                    </w:tabs>
                    <w:spacing w:after="0" w:line="240" w:lineRule="auto"/>
                    <w:jc w:val="center"/>
                    <w:rPr>
                      <w:rFonts w:cs="Calibri"/>
                      <w:b/>
                      <w:bCs/>
                      <w:szCs w:val="22"/>
                      <w:lang w:eastAsia="en-GB"/>
                    </w:rPr>
                  </w:pPr>
                  <w:r w:rsidRPr="001A3F8D">
                    <w:rPr>
                      <w:rFonts w:cs="Calibri"/>
                      <w:b/>
                      <w:bCs/>
                      <w:szCs w:val="22"/>
                      <w:lang w:eastAsia="en-GB"/>
                    </w:rPr>
                    <w:t>V</w:t>
                  </w:r>
                </w:p>
              </w:tc>
              <w:tc>
                <w:tcPr>
                  <w:tcW w:w="1420" w:type="dxa"/>
                  <w:tcBorders>
                    <w:top w:val="nil"/>
                    <w:left w:val="nil"/>
                    <w:bottom w:val="single" w:sz="4" w:space="0" w:color="auto"/>
                    <w:right w:val="single" w:sz="4" w:space="0" w:color="auto"/>
                  </w:tcBorders>
                  <w:vAlign w:val="center"/>
                  <w:hideMark/>
                </w:tcPr>
                <w:p w14:paraId="6EB03CDC" w14:textId="77777777" w:rsidR="001A3F8D" w:rsidRPr="001A3F8D" w:rsidRDefault="001A3F8D" w:rsidP="001A3F8D">
                  <w:pPr>
                    <w:tabs>
                      <w:tab w:val="clear" w:pos="567"/>
                    </w:tabs>
                    <w:spacing w:after="0" w:line="240" w:lineRule="auto"/>
                    <w:rPr>
                      <w:rFonts w:cs="Calibri"/>
                      <w:color w:val="auto"/>
                      <w:szCs w:val="22"/>
                      <w:lang w:eastAsia="en-GB"/>
                    </w:rPr>
                  </w:pPr>
                  <w:r w:rsidRPr="001A3F8D">
                    <w:rPr>
                      <w:rFonts w:cs="Calibri"/>
                      <w:color w:val="auto"/>
                      <w:szCs w:val="22"/>
                      <w:lang w:eastAsia="en-GB"/>
                    </w:rPr>
                    <w:t> </w:t>
                  </w:r>
                </w:p>
              </w:tc>
              <w:tc>
                <w:tcPr>
                  <w:tcW w:w="1420" w:type="dxa"/>
                  <w:tcBorders>
                    <w:top w:val="nil"/>
                    <w:left w:val="nil"/>
                    <w:bottom w:val="single" w:sz="4" w:space="0" w:color="auto"/>
                    <w:right w:val="single" w:sz="4" w:space="0" w:color="auto"/>
                  </w:tcBorders>
                  <w:vAlign w:val="center"/>
                  <w:hideMark/>
                </w:tcPr>
                <w:p w14:paraId="7A1BC060" w14:textId="77777777" w:rsidR="001A3F8D" w:rsidRPr="001A3F8D" w:rsidRDefault="001A3F8D" w:rsidP="001A3F8D">
                  <w:pPr>
                    <w:tabs>
                      <w:tab w:val="clear" w:pos="567"/>
                    </w:tabs>
                    <w:spacing w:after="0" w:line="240" w:lineRule="auto"/>
                    <w:rPr>
                      <w:rFonts w:cs="Calibri"/>
                      <w:color w:val="auto"/>
                      <w:szCs w:val="22"/>
                      <w:lang w:eastAsia="en-GB"/>
                    </w:rPr>
                  </w:pPr>
                  <w:r w:rsidRPr="001A3F8D">
                    <w:rPr>
                      <w:rFonts w:cs="Calibri"/>
                      <w:color w:val="auto"/>
                      <w:szCs w:val="22"/>
                      <w:lang w:eastAsia="en-GB"/>
                    </w:rPr>
                    <w:t> </w:t>
                  </w:r>
                </w:p>
              </w:tc>
              <w:tc>
                <w:tcPr>
                  <w:tcW w:w="1420" w:type="dxa"/>
                  <w:tcBorders>
                    <w:top w:val="nil"/>
                    <w:left w:val="nil"/>
                    <w:bottom w:val="single" w:sz="4" w:space="0" w:color="auto"/>
                    <w:right w:val="single" w:sz="4" w:space="0" w:color="auto"/>
                  </w:tcBorders>
                  <w:vAlign w:val="center"/>
                  <w:hideMark/>
                </w:tcPr>
                <w:p w14:paraId="15B017D7" w14:textId="77777777" w:rsidR="001A3F8D" w:rsidRPr="001A3F8D" w:rsidRDefault="001A3F8D" w:rsidP="001A3F8D">
                  <w:pPr>
                    <w:tabs>
                      <w:tab w:val="clear" w:pos="567"/>
                    </w:tabs>
                    <w:spacing w:after="0" w:line="240" w:lineRule="auto"/>
                    <w:rPr>
                      <w:rFonts w:cs="Calibri"/>
                      <w:color w:val="auto"/>
                      <w:szCs w:val="22"/>
                      <w:lang w:eastAsia="en-GB"/>
                    </w:rPr>
                  </w:pPr>
                  <w:r w:rsidRPr="001A3F8D">
                    <w:rPr>
                      <w:rFonts w:cs="Calibri"/>
                      <w:color w:val="auto"/>
                      <w:szCs w:val="22"/>
                      <w:lang w:eastAsia="en-GB"/>
                    </w:rPr>
                    <w:t> </w:t>
                  </w:r>
                </w:p>
              </w:tc>
              <w:tc>
                <w:tcPr>
                  <w:tcW w:w="1420" w:type="dxa"/>
                  <w:tcBorders>
                    <w:top w:val="nil"/>
                    <w:left w:val="nil"/>
                    <w:bottom w:val="single" w:sz="4" w:space="0" w:color="auto"/>
                    <w:right w:val="single" w:sz="4" w:space="0" w:color="auto"/>
                  </w:tcBorders>
                  <w:vAlign w:val="center"/>
                  <w:hideMark/>
                </w:tcPr>
                <w:p w14:paraId="1F8F5B6A" w14:textId="77777777" w:rsidR="001A3F8D" w:rsidRPr="001A3F8D" w:rsidRDefault="001A3F8D" w:rsidP="001A3F8D">
                  <w:pPr>
                    <w:tabs>
                      <w:tab w:val="clear" w:pos="567"/>
                    </w:tabs>
                    <w:spacing w:after="0" w:line="240" w:lineRule="auto"/>
                    <w:jc w:val="center"/>
                    <w:rPr>
                      <w:rFonts w:cs="Calibri"/>
                      <w:color w:val="auto"/>
                      <w:szCs w:val="22"/>
                      <w:lang w:eastAsia="en-GB"/>
                    </w:rPr>
                  </w:pPr>
                  <w:r w:rsidRPr="001A3F8D">
                    <w:rPr>
                      <w:rFonts w:cs="Calibri"/>
                      <w:color w:val="auto"/>
                      <w:szCs w:val="22"/>
                      <w:lang w:eastAsia="en-GB"/>
                    </w:rPr>
                    <w:t>●</w:t>
                  </w:r>
                </w:p>
              </w:tc>
              <w:tc>
                <w:tcPr>
                  <w:tcW w:w="1420" w:type="dxa"/>
                  <w:tcBorders>
                    <w:top w:val="nil"/>
                    <w:left w:val="nil"/>
                    <w:bottom w:val="single" w:sz="4" w:space="0" w:color="auto"/>
                    <w:right w:val="single" w:sz="4" w:space="0" w:color="auto"/>
                  </w:tcBorders>
                  <w:vAlign w:val="center"/>
                  <w:hideMark/>
                </w:tcPr>
                <w:p w14:paraId="59B2AFD9" w14:textId="77777777" w:rsidR="001A3F8D" w:rsidRPr="001A3F8D" w:rsidRDefault="001A3F8D" w:rsidP="001A3F8D">
                  <w:pPr>
                    <w:tabs>
                      <w:tab w:val="clear" w:pos="567"/>
                    </w:tabs>
                    <w:spacing w:after="0" w:line="240" w:lineRule="auto"/>
                    <w:jc w:val="left"/>
                    <w:rPr>
                      <w:rFonts w:cs="Calibri"/>
                      <w:color w:val="auto"/>
                      <w:szCs w:val="22"/>
                      <w:lang w:eastAsia="en-GB"/>
                    </w:rPr>
                  </w:pPr>
                  <w:r w:rsidRPr="001A3F8D">
                    <w:rPr>
                      <w:rFonts w:cs="Calibri"/>
                      <w:color w:val="auto"/>
                      <w:szCs w:val="22"/>
                      <w:lang w:eastAsia="en-GB"/>
                    </w:rPr>
                    <w:t>NA</w:t>
                  </w:r>
                </w:p>
              </w:tc>
            </w:tr>
          </w:tbl>
          <w:p w14:paraId="10206207"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p>
          <w:p w14:paraId="455D681B"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NOTES:</w:t>
            </w:r>
          </w:p>
          <w:p w14:paraId="2B6FAB2D" w14:textId="77777777" w:rsidR="001A3F8D" w:rsidRPr="003D4093" w:rsidRDefault="001A3F8D" w:rsidP="00E40E80">
            <w:pPr>
              <w:numPr>
                <w:ilvl w:val="3"/>
                <w:numId w:val="26"/>
              </w:numPr>
              <w:tabs>
                <w:tab w:val="clear" w:pos="567"/>
              </w:tabs>
              <w:spacing w:after="0" w:line="240" w:lineRule="auto"/>
              <w:ind w:left="408"/>
              <w:rPr>
                <w:rFonts w:asciiTheme="minorHAnsi" w:hAnsiTheme="minorHAnsi" w:cstheme="minorHAnsi"/>
                <w:color w:val="auto"/>
                <w:szCs w:val="22"/>
                <w:lang w:val="en-GB"/>
              </w:rPr>
            </w:pPr>
            <w:r w:rsidRPr="003D4093">
              <w:rPr>
                <w:rFonts w:asciiTheme="minorHAnsi" w:hAnsiTheme="minorHAnsi" w:cstheme="minorHAnsi"/>
                <w:color w:val="auto"/>
                <w:szCs w:val="22"/>
                <w:lang w:val="en-GB"/>
              </w:rPr>
              <w:t>Evidence of decline this may require an in</w:t>
            </w:r>
            <w:r w:rsidRPr="003D4093">
              <w:rPr>
                <w:rFonts w:asciiTheme="minorHAnsi" w:hAnsiTheme="minorHAnsi" w:cstheme="minorHAnsi"/>
                <w:i/>
                <w:color w:val="auto"/>
                <w:szCs w:val="22"/>
                <w:lang w:val="en-GB"/>
              </w:rPr>
              <w:t xml:space="preserve"> integration rule – please provide details of methods in the audit trail section at the end of the template and follow any relevant integration established within OSPAR.</w:t>
            </w:r>
          </w:p>
          <w:p w14:paraId="7606AF3E" w14:textId="77777777" w:rsidR="001A3F8D" w:rsidRPr="003D4093" w:rsidRDefault="001A3F8D" w:rsidP="00E40E80">
            <w:pPr>
              <w:tabs>
                <w:tab w:val="clear" w:pos="567"/>
                <w:tab w:val="left" w:pos="2580"/>
              </w:tabs>
              <w:spacing w:after="0" w:line="240" w:lineRule="auto"/>
              <w:rPr>
                <w:rFonts w:asciiTheme="minorHAnsi" w:hAnsiTheme="minorHAnsi" w:cstheme="minorHAnsi"/>
                <w:color w:val="auto"/>
                <w:szCs w:val="22"/>
                <w:lang w:val="en-GB"/>
              </w:rPr>
            </w:pPr>
          </w:p>
          <w:p w14:paraId="797DCBD1" w14:textId="77777777" w:rsidR="001A3F8D" w:rsidRPr="003D4093" w:rsidRDefault="001A3F8D" w:rsidP="00E40E80">
            <w:pPr>
              <w:tabs>
                <w:tab w:val="clear" w:pos="567"/>
                <w:tab w:val="left" w:pos="2580"/>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Explanation to table: </w:t>
            </w:r>
          </w:p>
          <w:p w14:paraId="6A00F926" w14:textId="77777777" w:rsidR="001A3F8D" w:rsidRPr="003D4093" w:rsidRDefault="001A3F8D" w:rsidP="00E40E80">
            <w:pPr>
              <w:widowControl w:val="0"/>
              <w:tabs>
                <w:tab w:val="clear" w:pos="567"/>
              </w:tabs>
              <w:autoSpaceDE w:val="0"/>
              <w:autoSpaceDN w:val="0"/>
              <w:spacing w:after="0" w:line="338" w:lineRule="auto"/>
              <w:ind w:right="211"/>
              <w:jc w:val="left"/>
              <w:rPr>
                <w:rFonts w:asciiTheme="minorHAnsi" w:eastAsia="Calibri" w:hAnsiTheme="minorHAnsi" w:cstheme="minorHAnsi"/>
                <w:b/>
                <w:color w:val="auto"/>
                <w:szCs w:val="22"/>
                <w:u w:val="single"/>
                <w:lang w:val="en-GB"/>
              </w:rPr>
            </w:pPr>
            <w:r w:rsidRPr="003D4093">
              <w:rPr>
                <w:rFonts w:asciiTheme="minorHAnsi" w:eastAsia="Calibri" w:hAnsiTheme="minorHAnsi" w:cstheme="minorHAnsi"/>
                <w:b/>
                <w:color w:val="auto"/>
                <w:szCs w:val="22"/>
                <w:u w:val="single"/>
                <w:lang w:val="en-GB"/>
              </w:rPr>
              <w:t>Distribution, extent, condition</w:t>
            </w:r>
          </w:p>
          <w:p w14:paraId="42631A1F"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b/>
                <w:color w:val="auto"/>
                <w:szCs w:val="22"/>
                <w:lang w:val="en-GB"/>
              </w:rPr>
              <w:t>Trends</w:t>
            </w:r>
            <w:r w:rsidRPr="003D4093">
              <w:rPr>
                <w:rFonts w:asciiTheme="minorHAnsi" w:hAnsiTheme="minorHAnsi" w:cstheme="minorHAnsi"/>
                <w:color w:val="auto"/>
                <w:szCs w:val="22"/>
                <w:lang w:val="en-GB"/>
              </w:rPr>
              <w:t xml:space="preserve"> in status (since the assessment in the background document)</w:t>
            </w:r>
          </w:p>
          <w:p w14:paraId="6EEDDFA4"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b/>
                <w:bCs/>
                <w:color w:val="auto"/>
                <w:szCs w:val="22"/>
                <w:lang w:val="en-GB"/>
              </w:rPr>
              <w:t xml:space="preserve">↓ </w:t>
            </w:r>
            <w:r w:rsidRPr="003D4093">
              <w:rPr>
                <w:rFonts w:asciiTheme="minorHAnsi" w:hAnsiTheme="minorHAnsi" w:cstheme="minorHAnsi"/>
                <w:b/>
                <w:bCs/>
                <w:color w:val="auto"/>
                <w:szCs w:val="22"/>
                <w:lang w:val="en-GB"/>
              </w:rPr>
              <w:tab/>
            </w:r>
            <w:r w:rsidRPr="003D4093">
              <w:rPr>
                <w:rFonts w:asciiTheme="minorHAnsi" w:hAnsiTheme="minorHAnsi" w:cstheme="minorHAnsi"/>
                <w:color w:val="auto"/>
                <w:szCs w:val="22"/>
                <w:lang w:val="en-GB"/>
              </w:rPr>
              <w:t xml:space="preserve">decreasing trend or deterioration of the criterion assessed </w:t>
            </w:r>
          </w:p>
          <w:p w14:paraId="36A98240" w14:textId="77777777" w:rsidR="001A3F8D" w:rsidRPr="003D4093" w:rsidRDefault="001A3F8D" w:rsidP="00E40E80">
            <w:pPr>
              <w:tabs>
                <w:tab w:val="clear" w:pos="567"/>
              </w:tabs>
              <w:spacing w:after="0" w:line="240" w:lineRule="auto"/>
              <w:rPr>
                <w:rFonts w:asciiTheme="minorHAnsi" w:hAnsiTheme="minorHAnsi" w:cstheme="minorHAnsi"/>
                <w:b/>
                <w:bCs/>
                <w:color w:val="auto"/>
                <w:szCs w:val="22"/>
                <w:lang w:val="en-GB"/>
              </w:rPr>
            </w:pPr>
            <w:r w:rsidRPr="003D4093">
              <w:rPr>
                <w:rFonts w:asciiTheme="minorHAnsi" w:hAnsiTheme="minorHAnsi" w:cstheme="minorHAnsi"/>
                <w:b/>
                <w:bCs/>
                <w:color w:val="auto"/>
                <w:szCs w:val="22"/>
                <w:lang w:val="en-GB"/>
              </w:rPr>
              <w:t>↑</w:t>
            </w:r>
            <w:r w:rsidRPr="003D4093">
              <w:rPr>
                <w:rFonts w:asciiTheme="minorHAnsi" w:hAnsiTheme="minorHAnsi" w:cstheme="minorHAnsi"/>
                <w:color w:val="auto"/>
                <w:szCs w:val="22"/>
                <w:lang w:val="en-GB"/>
              </w:rPr>
              <w:t xml:space="preserve"> </w:t>
            </w:r>
            <w:r w:rsidRPr="003D4093">
              <w:rPr>
                <w:rFonts w:asciiTheme="minorHAnsi" w:hAnsiTheme="minorHAnsi" w:cstheme="minorHAnsi"/>
                <w:b/>
                <w:bCs/>
                <w:color w:val="auto"/>
                <w:szCs w:val="22"/>
                <w:lang w:val="en-GB"/>
              </w:rPr>
              <w:tab/>
            </w:r>
            <w:r w:rsidRPr="003D4093">
              <w:rPr>
                <w:rFonts w:asciiTheme="minorHAnsi" w:hAnsiTheme="minorHAnsi" w:cstheme="minorHAnsi"/>
                <w:color w:val="auto"/>
                <w:szCs w:val="22"/>
                <w:lang w:val="en-GB"/>
              </w:rPr>
              <w:t>increasing trend or improvement in the criterion assessed</w:t>
            </w:r>
          </w:p>
          <w:p w14:paraId="1FF6ABD7"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b/>
                <w:bCs/>
                <w:color w:val="auto"/>
                <w:szCs w:val="22"/>
                <w:lang w:val="en-GB"/>
              </w:rPr>
              <w:t xml:space="preserve">←→ </w:t>
            </w:r>
            <w:r w:rsidRPr="003D4093">
              <w:rPr>
                <w:rFonts w:asciiTheme="minorHAnsi" w:hAnsiTheme="minorHAnsi" w:cstheme="minorHAnsi"/>
                <w:b/>
                <w:bCs/>
                <w:color w:val="auto"/>
                <w:szCs w:val="22"/>
                <w:lang w:val="en-GB"/>
              </w:rPr>
              <w:tab/>
            </w:r>
            <w:r w:rsidRPr="003D4093">
              <w:rPr>
                <w:rFonts w:asciiTheme="minorHAnsi" w:hAnsiTheme="minorHAnsi" w:cstheme="minorHAnsi"/>
                <w:color w:val="auto"/>
                <w:szCs w:val="22"/>
                <w:lang w:val="en-GB"/>
              </w:rPr>
              <w:t xml:space="preserve">no change observed in the criterion assessed </w:t>
            </w:r>
          </w:p>
          <w:p w14:paraId="552B21BC"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b/>
                <w:color w:val="auto"/>
                <w:szCs w:val="22"/>
                <w:lang w:val="en-GB"/>
              </w:rPr>
              <w:t>?</w:t>
            </w:r>
            <w:r w:rsidRPr="003D4093">
              <w:rPr>
                <w:rFonts w:asciiTheme="minorHAnsi" w:hAnsiTheme="minorHAnsi" w:cstheme="minorHAnsi"/>
                <w:i/>
                <w:color w:val="auto"/>
                <w:szCs w:val="22"/>
                <w:lang w:val="en-GB"/>
              </w:rPr>
              <w:t xml:space="preserve">  trend unknown in the criterion assessed</w:t>
            </w:r>
          </w:p>
          <w:p w14:paraId="72B9FFD6"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highlight w:val="red"/>
                <w:lang w:val="en-GB"/>
              </w:rPr>
              <w:t>red</w:t>
            </w:r>
            <w:r w:rsidRPr="003D4093">
              <w:rPr>
                <w:rFonts w:asciiTheme="minorHAnsi" w:hAnsiTheme="minorHAnsi" w:cstheme="minorHAnsi"/>
                <w:color w:val="auto"/>
                <w:szCs w:val="22"/>
                <w:lang w:val="en-GB"/>
              </w:rPr>
              <w:t xml:space="preserve"> – poor </w:t>
            </w:r>
          </w:p>
          <w:p w14:paraId="6498AD13"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highlight w:val="green"/>
                <w:lang w:val="en-GB"/>
              </w:rPr>
              <w:t>green</w:t>
            </w:r>
            <w:r w:rsidRPr="003D4093">
              <w:rPr>
                <w:rFonts w:asciiTheme="minorHAnsi" w:hAnsiTheme="minorHAnsi" w:cstheme="minorHAnsi"/>
                <w:color w:val="auto"/>
                <w:szCs w:val="22"/>
                <w:lang w:val="en-GB"/>
              </w:rPr>
              <w:t xml:space="preserve"> – good</w:t>
            </w:r>
          </w:p>
          <w:p w14:paraId="5034A750" w14:textId="77777777" w:rsidR="001A3F8D" w:rsidRPr="003D4093" w:rsidRDefault="001A3F8D" w:rsidP="00E40E80">
            <w:pPr>
              <w:tabs>
                <w:tab w:val="clear" w:pos="567"/>
              </w:tabs>
              <w:spacing w:after="0" w:line="240" w:lineRule="auto"/>
              <w:rPr>
                <w:rFonts w:asciiTheme="minorHAnsi" w:hAnsiTheme="minorHAnsi" w:cstheme="minorHAnsi"/>
                <w:b/>
                <w:color w:val="auto"/>
                <w:szCs w:val="22"/>
                <w:u w:val="single"/>
                <w:lang w:val="en-GB"/>
              </w:rPr>
            </w:pPr>
            <w:r w:rsidRPr="003D4093">
              <w:rPr>
                <w:rFonts w:asciiTheme="minorHAnsi" w:hAnsiTheme="minorHAnsi" w:cstheme="minorHAnsi"/>
                <w:color w:val="auto"/>
                <w:szCs w:val="22"/>
                <w:shd w:val="clear" w:color="auto" w:fill="DAEEF3"/>
                <w:lang w:val="en-GB"/>
              </w:rPr>
              <w:t>blue</w:t>
            </w:r>
            <w:r w:rsidRPr="003D4093">
              <w:rPr>
                <w:rFonts w:asciiTheme="minorHAnsi" w:hAnsiTheme="minorHAnsi" w:cstheme="minorHAnsi"/>
                <w:color w:val="auto"/>
                <w:szCs w:val="22"/>
                <w:lang w:val="en-GB"/>
              </w:rPr>
              <w:t>–? status unknown, insufficient information available</w:t>
            </w:r>
          </w:p>
          <w:p w14:paraId="0F039A1B" w14:textId="77777777" w:rsidR="001A3F8D" w:rsidRPr="003D4093" w:rsidRDefault="001A3F8D" w:rsidP="00E40E80">
            <w:pPr>
              <w:tabs>
                <w:tab w:val="clear" w:pos="567"/>
              </w:tabs>
              <w:spacing w:after="0" w:line="240" w:lineRule="auto"/>
              <w:rPr>
                <w:rFonts w:asciiTheme="minorHAnsi" w:hAnsiTheme="minorHAnsi" w:cstheme="minorHAnsi"/>
                <w:i/>
                <w:color w:val="auto"/>
                <w:szCs w:val="22"/>
                <w:lang w:val="en-GB"/>
              </w:rPr>
            </w:pPr>
            <w:r w:rsidRPr="003D4093">
              <w:rPr>
                <w:rFonts w:asciiTheme="minorHAnsi" w:hAnsiTheme="minorHAnsi" w:cstheme="minorHAnsi"/>
                <w:b/>
                <w:color w:val="auto"/>
                <w:szCs w:val="22"/>
                <w:lang w:val="en-GB"/>
              </w:rPr>
              <w:t>NA</w:t>
            </w:r>
            <w:r w:rsidRPr="003D4093">
              <w:rPr>
                <w:rFonts w:asciiTheme="minorHAnsi" w:hAnsiTheme="minorHAnsi" w:cstheme="minorHAnsi"/>
                <w:i/>
                <w:color w:val="auto"/>
                <w:szCs w:val="22"/>
                <w:lang w:val="en-GB"/>
              </w:rPr>
              <w:t xml:space="preserve"> - Not Applicable </w:t>
            </w:r>
          </w:p>
          <w:p w14:paraId="183BC2D2" w14:textId="77777777" w:rsidR="001A3F8D" w:rsidRPr="003D4093" w:rsidRDefault="001A3F8D" w:rsidP="00E40E80">
            <w:pPr>
              <w:tabs>
                <w:tab w:val="clear" w:pos="567"/>
              </w:tabs>
              <w:spacing w:after="0" w:line="240" w:lineRule="auto"/>
              <w:rPr>
                <w:rFonts w:asciiTheme="minorHAnsi" w:hAnsiTheme="minorHAnsi" w:cstheme="minorHAnsi"/>
                <w:i/>
                <w:color w:val="auto"/>
                <w:szCs w:val="22"/>
                <w:lang w:val="en-GB"/>
              </w:rPr>
            </w:pPr>
          </w:p>
          <w:p w14:paraId="47ADB0EE" w14:textId="77777777" w:rsidR="001A3F8D" w:rsidRPr="003D4093" w:rsidRDefault="001A3F8D" w:rsidP="00E40E80">
            <w:pPr>
              <w:tabs>
                <w:tab w:val="clear" w:pos="567"/>
              </w:tabs>
              <w:spacing w:after="0" w:line="240" w:lineRule="auto"/>
              <w:rPr>
                <w:rFonts w:asciiTheme="minorHAnsi" w:hAnsiTheme="minorHAnsi" w:cstheme="minorHAnsi"/>
                <w:b/>
                <w:color w:val="auto"/>
                <w:szCs w:val="22"/>
                <w:u w:val="single"/>
                <w:lang w:val="en-GB"/>
              </w:rPr>
            </w:pPr>
            <w:r w:rsidRPr="003D4093">
              <w:rPr>
                <w:rFonts w:asciiTheme="minorHAnsi" w:hAnsiTheme="minorHAnsi" w:cstheme="minorHAnsi"/>
                <w:b/>
                <w:color w:val="auto"/>
                <w:szCs w:val="22"/>
                <w:u w:val="single"/>
                <w:lang w:val="en-GB"/>
              </w:rPr>
              <w:t>Types of assessment:</w:t>
            </w:r>
          </w:p>
          <w:p w14:paraId="6D696E9A"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1 – direct data driven, </w:t>
            </w:r>
          </w:p>
          <w:p w14:paraId="00C5097A"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2 – indirect data driven, </w:t>
            </w:r>
          </w:p>
          <w:p w14:paraId="220946CB"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3 – third party assessment close-geographic match, </w:t>
            </w:r>
          </w:p>
          <w:p w14:paraId="58ED996F"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4 - third party assessment partial-geographic match  </w:t>
            </w:r>
          </w:p>
          <w:p w14:paraId="2E242BCD"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5 – expert judgement. </w:t>
            </w:r>
          </w:p>
          <w:p w14:paraId="3CB12BFE"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(Use more than one number when mixed methods were used)</w:t>
            </w:r>
          </w:p>
          <w:p w14:paraId="73F184EA" w14:textId="77777777" w:rsidR="001A3F8D" w:rsidRPr="003D4093" w:rsidRDefault="001A3F8D" w:rsidP="00E40E80">
            <w:pPr>
              <w:tabs>
                <w:tab w:val="clear" w:pos="567"/>
              </w:tabs>
              <w:spacing w:after="0" w:line="240" w:lineRule="auto"/>
              <w:rPr>
                <w:rFonts w:asciiTheme="minorHAnsi" w:hAnsiTheme="minorHAnsi" w:cstheme="minorHAnsi"/>
                <w:b/>
                <w:color w:val="auto"/>
                <w:szCs w:val="22"/>
                <w:u w:val="single"/>
                <w:lang w:val="en-GB"/>
              </w:rPr>
            </w:pPr>
          </w:p>
          <w:tbl>
            <w:tblPr>
              <w:tblW w:w="12327" w:type="dxa"/>
              <w:tblLook w:val="04A0" w:firstRow="1" w:lastRow="0" w:firstColumn="1" w:lastColumn="0" w:noHBand="0" w:noVBand="1"/>
            </w:tblPr>
            <w:tblGrid>
              <w:gridCol w:w="1384"/>
              <w:gridCol w:w="1351"/>
              <w:gridCol w:w="3112"/>
              <w:gridCol w:w="1890"/>
              <w:gridCol w:w="2610"/>
              <w:gridCol w:w="1980"/>
            </w:tblGrid>
            <w:tr w:rsidR="001E4D6B" w:rsidRPr="001E4D6B" w14:paraId="66563673" w14:textId="77777777" w:rsidTr="001E4D6B">
              <w:trPr>
                <w:trHeight w:val="1615"/>
              </w:trPr>
              <w:tc>
                <w:tcPr>
                  <w:tcW w:w="2735" w:type="dxa"/>
                  <w:gridSpan w:val="2"/>
                  <w:tcBorders>
                    <w:top w:val="single" w:sz="4" w:space="0" w:color="auto"/>
                    <w:left w:val="single" w:sz="4" w:space="0" w:color="auto"/>
                    <w:bottom w:val="single" w:sz="4" w:space="0" w:color="auto"/>
                    <w:right w:val="single" w:sz="4" w:space="0" w:color="auto"/>
                  </w:tcBorders>
                  <w:vAlign w:val="bottom"/>
                  <w:hideMark/>
                </w:tcPr>
                <w:p w14:paraId="18136D57" w14:textId="77777777" w:rsidR="001E4D6B" w:rsidRPr="001E4D6B" w:rsidRDefault="001E4D6B" w:rsidP="001E4D6B">
                  <w:pPr>
                    <w:tabs>
                      <w:tab w:val="clear" w:pos="567"/>
                    </w:tabs>
                    <w:spacing w:after="0" w:line="240" w:lineRule="auto"/>
                    <w:jc w:val="left"/>
                    <w:rPr>
                      <w:rFonts w:cs="Calibri"/>
                      <w:b/>
                      <w:bCs/>
                      <w:szCs w:val="22"/>
                      <w:lang w:eastAsia="en-GB"/>
                    </w:rPr>
                  </w:pPr>
                  <w:r w:rsidRPr="001E4D6B">
                    <w:rPr>
                      <w:rFonts w:cs="Calibri"/>
                      <w:b/>
                      <w:bCs/>
                      <w:szCs w:val="22"/>
                      <w:lang w:eastAsia="en-GB"/>
                    </w:rPr>
                    <w:t>Assessment of key pressures</w:t>
                  </w:r>
                </w:p>
              </w:tc>
              <w:tc>
                <w:tcPr>
                  <w:tcW w:w="3112" w:type="dxa"/>
                  <w:tcBorders>
                    <w:top w:val="single" w:sz="4" w:space="0" w:color="auto"/>
                    <w:left w:val="nil"/>
                    <w:bottom w:val="single" w:sz="4" w:space="0" w:color="auto"/>
                    <w:right w:val="single" w:sz="4" w:space="0" w:color="auto"/>
                  </w:tcBorders>
                  <w:vAlign w:val="center"/>
                  <w:hideMark/>
                </w:tcPr>
                <w:p w14:paraId="3C566777" w14:textId="77777777" w:rsidR="001E4D6B" w:rsidRPr="001E4D6B" w:rsidRDefault="001E4D6B" w:rsidP="001E4D6B">
                  <w:pPr>
                    <w:tabs>
                      <w:tab w:val="clear" w:pos="567"/>
                    </w:tabs>
                    <w:spacing w:after="0" w:line="240" w:lineRule="auto"/>
                    <w:jc w:val="left"/>
                    <w:rPr>
                      <w:rFonts w:cs="Calibri"/>
                      <w:color w:val="auto"/>
                      <w:szCs w:val="22"/>
                      <w:lang w:eastAsia="en-GB"/>
                    </w:rPr>
                  </w:pPr>
                  <w:r w:rsidRPr="001E4D6B">
                    <w:rPr>
                      <w:rFonts w:cs="Calibri"/>
                      <w:color w:val="auto"/>
                      <w:szCs w:val="22"/>
                      <w:lang w:eastAsia="en-GB"/>
                    </w:rPr>
                    <w:t>Penetration and/or disturbance of the substrate below the surface of the seabed, including abrasion</w:t>
                  </w:r>
                </w:p>
              </w:tc>
              <w:tc>
                <w:tcPr>
                  <w:tcW w:w="1890" w:type="dxa"/>
                  <w:tcBorders>
                    <w:top w:val="single" w:sz="4" w:space="0" w:color="auto"/>
                    <w:left w:val="nil"/>
                    <w:bottom w:val="single" w:sz="4" w:space="0" w:color="auto"/>
                    <w:right w:val="single" w:sz="4" w:space="0" w:color="auto"/>
                  </w:tcBorders>
                  <w:vAlign w:val="center"/>
                  <w:hideMark/>
                </w:tcPr>
                <w:p w14:paraId="59CC174C" w14:textId="77777777" w:rsidR="001E4D6B" w:rsidRPr="001E4D6B" w:rsidRDefault="001E4D6B" w:rsidP="001E4D6B">
                  <w:pPr>
                    <w:tabs>
                      <w:tab w:val="clear" w:pos="567"/>
                    </w:tabs>
                    <w:spacing w:after="0" w:line="240" w:lineRule="auto"/>
                    <w:jc w:val="left"/>
                    <w:rPr>
                      <w:rFonts w:cs="Calibri"/>
                      <w:color w:val="auto"/>
                      <w:szCs w:val="22"/>
                      <w:lang w:eastAsia="en-GB"/>
                    </w:rPr>
                  </w:pPr>
                  <w:r w:rsidRPr="001E4D6B">
                    <w:rPr>
                      <w:rFonts w:cs="Calibri"/>
                      <w:color w:val="auto"/>
                      <w:szCs w:val="22"/>
                      <w:lang w:eastAsia="en-GB"/>
                    </w:rPr>
                    <w:t>Physical change (to another seabed type)</w:t>
                  </w:r>
                </w:p>
              </w:tc>
              <w:tc>
                <w:tcPr>
                  <w:tcW w:w="2610" w:type="dxa"/>
                  <w:tcBorders>
                    <w:top w:val="single" w:sz="4" w:space="0" w:color="auto"/>
                    <w:left w:val="nil"/>
                    <w:bottom w:val="single" w:sz="4" w:space="0" w:color="auto"/>
                    <w:right w:val="single" w:sz="4" w:space="0" w:color="auto"/>
                  </w:tcBorders>
                  <w:vAlign w:val="center"/>
                  <w:hideMark/>
                </w:tcPr>
                <w:p w14:paraId="05A69B00" w14:textId="77777777" w:rsidR="001E4D6B" w:rsidRPr="001E4D6B" w:rsidRDefault="001E4D6B" w:rsidP="001E4D6B">
                  <w:pPr>
                    <w:tabs>
                      <w:tab w:val="clear" w:pos="567"/>
                    </w:tabs>
                    <w:spacing w:after="0" w:line="240" w:lineRule="auto"/>
                    <w:jc w:val="left"/>
                    <w:rPr>
                      <w:rFonts w:cs="Calibri"/>
                      <w:color w:val="auto"/>
                      <w:szCs w:val="22"/>
                      <w:lang w:eastAsia="en-GB"/>
                    </w:rPr>
                  </w:pPr>
                  <w:r w:rsidRPr="001E4D6B">
                    <w:rPr>
                      <w:rFonts w:cs="Calibri"/>
                      <w:color w:val="auto"/>
                      <w:szCs w:val="22"/>
                      <w:lang w:eastAsia="en-GB"/>
                    </w:rPr>
                    <w:t>Climate change (temperature increases, marine heatwaves, ocean acidification)</w:t>
                  </w:r>
                </w:p>
              </w:tc>
              <w:tc>
                <w:tcPr>
                  <w:tcW w:w="1980" w:type="dxa"/>
                  <w:tcBorders>
                    <w:top w:val="single" w:sz="4" w:space="0" w:color="auto"/>
                    <w:left w:val="nil"/>
                    <w:bottom w:val="single" w:sz="4" w:space="0" w:color="auto"/>
                    <w:right w:val="single" w:sz="4" w:space="0" w:color="auto"/>
                  </w:tcBorders>
                  <w:vAlign w:val="center"/>
                  <w:hideMark/>
                </w:tcPr>
                <w:p w14:paraId="6395010D" w14:textId="77777777" w:rsidR="001E4D6B" w:rsidRPr="001E4D6B" w:rsidRDefault="001E4D6B" w:rsidP="001E4D6B">
                  <w:pPr>
                    <w:tabs>
                      <w:tab w:val="clear" w:pos="567"/>
                    </w:tabs>
                    <w:spacing w:after="0" w:line="240" w:lineRule="auto"/>
                    <w:jc w:val="left"/>
                    <w:rPr>
                      <w:rFonts w:cs="Calibri"/>
                      <w:b/>
                      <w:bCs/>
                      <w:color w:val="auto"/>
                      <w:szCs w:val="22"/>
                      <w:lang w:eastAsia="en-GB"/>
                    </w:rPr>
                  </w:pPr>
                  <w:r w:rsidRPr="001E4D6B">
                    <w:rPr>
                      <w:rFonts w:cs="Calibri"/>
                      <w:b/>
                      <w:bCs/>
                      <w:color w:val="auto"/>
                      <w:szCs w:val="22"/>
                      <w:lang w:eastAsia="en-GB"/>
                    </w:rPr>
                    <w:t>Threat of impact</w:t>
                  </w:r>
                  <w:r w:rsidRPr="001E4D6B">
                    <w:rPr>
                      <w:rFonts w:cs="Calibri"/>
                      <w:color w:val="auto"/>
                      <w:szCs w:val="22"/>
                      <w:lang w:eastAsia="en-GB"/>
                    </w:rPr>
                    <w:t xml:space="preserve"> [overall assessment, conclusion based on the above rows]</w:t>
                  </w:r>
                </w:p>
              </w:tc>
            </w:tr>
            <w:tr w:rsidR="001E4D6B" w:rsidRPr="001E4D6B" w14:paraId="1C5D34FF" w14:textId="77777777" w:rsidTr="001E4D6B">
              <w:trPr>
                <w:trHeight w:val="315"/>
              </w:trPr>
              <w:tc>
                <w:tcPr>
                  <w:tcW w:w="1384" w:type="dxa"/>
                  <w:vMerge w:val="restart"/>
                  <w:tcBorders>
                    <w:top w:val="nil"/>
                    <w:left w:val="single" w:sz="4" w:space="0" w:color="auto"/>
                    <w:bottom w:val="single" w:sz="4" w:space="0" w:color="auto"/>
                    <w:right w:val="single" w:sz="4" w:space="0" w:color="auto"/>
                  </w:tcBorders>
                  <w:vAlign w:val="bottom"/>
                  <w:hideMark/>
                </w:tcPr>
                <w:p w14:paraId="1473B4BE" w14:textId="77777777" w:rsidR="001E4D6B" w:rsidRPr="001E4D6B" w:rsidRDefault="001E4D6B" w:rsidP="001E4D6B">
                  <w:pPr>
                    <w:tabs>
                      <w:tab w:val="clear" w:pos="567"/>
                    </w:tabs>
                    <w:spacing w:after="0" w:line="240" w:lineRule="auto"/>
                    <w:jc w:val="left"/>
                    <w:rPr>
                      <w:rFonts w:cs="Calibri"/>
                      <w:b/>
                      <w:bCs/>
                      <w:szCs w:val="22"/>
                      <w:lang w:eastAsia="en-GB"/>
                    </w:rPr>
                  </w:pPr>
                  <w:r w:rsidRPr="001E4D6B">
                    <w:rPr>
                      <w:rFonts w:cs="Calibri"/>
                      <w:b/>
                      <w:bCs/>
                      <w:szCs w:val="22"/>
                      <w:lang w:eastAsia="en-GB"/>
                    </w:rPr>
                    <w:t> Region</w:t>
                  </w:r>
                </w:p>
              </w:tc>
              <w:tc>
                <w:tcPr>
                  <w:tcW w:w="1351" w:type="dxa"/>
                  <w:tcBorders>
                    <w:top w:val="nil"/>
                    <w:left w:val="nil"/>
                    <w:bottom w:val="single" w:sz="4" w:space="0" w:color="auto"/>
                    <w:right w:val="single" w:sz="4" w:space="0" w:color="auto"/>
                  </w:tcBorders>
                  <w:vAlign w:val="bottom"/>
                  <w:hideMark/>
                </w:tcPr>
                <w:p w14:paraId="35E9A422" w14:textId="77777777" w:rsidR="001E4D6B" w:rsidRPr="001E4D6B" w:rsidRDefault="001E4D6B" w:rsidP="001E4D6B">
                  <w:pPr>
                    <w:tabs>
                      <w:tab w:val="clear" w:pos="567"/>
                    </w:tabs>
                    <w:spacing w:after="0" w:line="240" w:lineRule="auto"/>
                    <w:jc w:val="center"/>
                    <w:rPr>
                      <w:rFonts w:cs="Calibri"/>
                      <w:b/>
                      <w:bCs/>
                      <w:szCs w:val="22"/>
                      <w:lang w:eastAsia="en-GB"/>
                    </w:rPr>
                  </w:pPr>
                  <w:r w:rsidRPr="001E4D6B">
                    <w:rPr>
                      <w:rFonts w:cs="Calibri"/>
                      <w:b/>
                      <w:bCs/>
                      <w:szCs w:val="22"/>
                      <w:lang w:eastAsia="en-GB"/>
                    </w:rPr>
                    <w:t>I</w:t>
                  </w:r>
                </w:p>
              </w:tc>
              <w:tc>
                <w:tcPr>
                  <w:tcW w:w="3112" w:type="dxa"/>
                  <w:tcBorders>
                    <w:top w:val="nil"/>
                    <w:left w:val="nil"/>
                    <w:bottom w:val="single" w:sz="4" w:space="0" w:color="auto"/>
                    <w:right w:val="single" w:sz="4" w:space="0" w:color="auto"/>
                  </w:tcBorders>
                  <w:vAlign w:val="bottom"/>
                  <w:hideMark/>
                </w:tcPr>
                <w:p w14:paraId="5F4A6E49" w14:textId="77777777" w:rsidR="001E4D6B" w:rsidRPr="001E4D6B" w:rsidRDefault="001E4D6B" w:rsidP="001E4D6B">
                  <w:pPr>
                    <w:tabs>
                      <w:tab w:val="clear" w:pos="567"/>
                    </w:tabs>
                    <w:spacing w:after="0" w:line="240" w:lineRule="auto"/>
                    <w:jc w:val="left"/>
                    <w:rPr>
                      <w:rFonts w:cs="Calibri"/>
                      <w:color w:val="000000"/>
                      <w:szCs w:val="22"/>
                      <w:lang w:eastAsia="en-GB"/>
                    </w:rPr>
                  </w:pPr>
                  <w:r w:rsidRPr="001E4D6B">
                    <w:rPr>
                      <w:rFonts w:cs="Calibri"/>
                      <w:color w:val="000000"/>
                      <w:szCs w:val="22"/>
                      <w:lang w:eastAsia="en-GB"/>
                    </w:rPr>
                    <w:t> </w:t>
                  </w:r>
                </w:p>
              </w:tc>
              <w:tc>
                <w:tcPr>
                  <w:tcW w:w="1890" w:type="dxa"/>
                  <w:tcBorders>
                    <w:top w:val="nil"/>
                    <w:left w:val="nil"/>
                    <w:bottom w:val="single" w:sz="4" w:space="0" w:color="auto"/>
                    <w:right w:val="single" w:sz="4" w:space="0" w:color="auto"/>
                  </w:tcBorders>
                  <w:vAlign w:val="bottom"/>
                  <w:hideMark/>
                </w:tcPr>
                <w:p w14:paraId="4575E0BA" w14:textId="77777777" w:rsidR="001E4D6B" w:rsidRPr="001E4D6B" w:rsidRDefault="001E4D6B" w:rsidP="001E4D6B">
                  <w:pPr>
                    <w:tabs>
                      <w:tab w:val="clear" w:pos="567"/>
                    </w:tabs>
                    <w:spacing w:after="0" w:line="240" w:lineRule="auto"/>
                    <w:jc w:val="left"/>
                    <w:rPr>
                      <w:rFonts w:cs="Calibri"/>
                      <w:color w:val="000000"/>
                      <w:szCs w:val="22"/>
                      <w:lang w:eastAsia="en-GB"/>
                    </w:rPr>
                  </w:pPr>
                  <w:r w:rsidRPr="001E4D6B">
                    <w:rPr>
                      <w:rFonts w:cs="Calibri"/>
                      <w:color w:val="000000"/>
                      <w:szCs w:val="22"/>
                      <w:lang w:eastAsia="en-GB"/>
                    </w:rPr>
                    <w:t> </w:t>
                  </w:r>
                </w:p>
              </w:tc>
              <w:tc>
                <w:tcPr>
                  <w:tcW w:w="2610" w:type="dxa"/>
                  <w:tcBorders>
                    <w:top w:val="nil"/>
                    <w:left w:val="nil"/>
                    <w:bottom w:val="single" w:sz="4" w:space="0" w:color="auto"/>
                    <w:right w:val="single" w:sz="4" w:space="0" w:color="auto"/>
                  </w:tcBorders>
                  <w:vAlign w:val="bottom"/>
                  <w:hideMark/>
                </w:tcPr>
                <w:p w14:paraId="563B2339" w14:textId="77777777" w:rsidR="001E4D6B" w:rsidRPr="001E4D6B" w:rsidRDefault="001E4D6B" w:rsidP="001E4D6B">
                  <w:pPr>
                    <w:tabs>
                      <w:tab w:val="clear" w:pos="567"/>
                    </w:tabs>
                    <w:spacing w:after="0" w:line="240" w:lineRule="auto"/>
                    <w:jc w:val="left"/>
                    <w:rPr>
                      <w:rFonts w:cs="Calibri"/>
                      <w:color w:val="000000"/>
                      <w:szCs w:val="22"/>
                      <w:lang w:eastAsia="en-GB"/>
                    </w:rPr>
                  </w:pPr>
                  <w:r w:rsidRPr="001E4D6B">
                    <w:rPr>
                      <w:rFonts w:cs="Calibri"/>
                      <w:color w:val="000000"/>
                      <w:szCs w:val="22"/>
                      <w:lang w:eastAsia="en-GB"/>
                    </w:rPr>
                    <w:t> </w:t>
                  </w:r>
                </w:p>
              </w:tc>
              <w:tc>
                <w:tcPr>
                  <w:tcW w:w="1980" w:type="dxa"/>
                  <w:tcBorders>
                    <w:top w:val="nil"/>
                    <w:left w:val="nil"/>
                    <w:bottom w:val="single" w:sz="4" w:space="0" w:color="auto"/>
                    <w:right w:val="single" w:sz="4" w:space="0" w:color="auto"/>
                  </w:tcBorders>
                  <w:noWrap/>
                  <w:vAlign w:val="bottom"/>
                  <w:hideMark/>
                </w:tcPr>
                <w:p w14:paraId="35C331E0" w14:textId="77777777" w:rsidR="001E4D6B" w:rsidRPr="001E4D6B" w:rsidRDefault="001E4D6B" w:rsidP="001E4D6B">
                  <w:pPr>
                    <w:tabs>
                      <w:tab w:val="clear" w:pos="567"/>
                    </w:tabs>
                    <w:spacing w:after="0" w:line="240" w:lineRule="auto"/>
                    <w:jc w:val="left"/>
                    <w:rPr>
                      <w:rFonts w:cs="Calibri"/>
                      <w:color w:val="000000"/>
                      <w:szCs w:val="22"/>
                      <w:lang w:eastAsia="en-GB"/>
                    </w:rPr>
                  </w:pPr>
                  <w:r w:rsidRPr="001E4D6B">
                    <w:rPr>
                      <w:rFonts w:cs="Calibri"/>
                      <w:color w:val="000000"/>
                      <w:szCs w:val="22"/>
                      <w:lang w:eastAsia="en-GB"/>
                    </w:rPr>
                    <w:t> </w:t>
                  </w:r>
                </w:p>
              </w:tc>
            </w:tr>
            <w:tr w:rsidR="001E4D6B" w:rsidRPr="001E4D6B" w14:paraId="4419076D" w14:textId="77777777" w:rsidTr="001E4D6B">
              <w:trPr>
                <w:trHeight w:val="660"/>
              </w:trPr>
              <w:tc>
                <w:tcPr>
                  <w:tcW w:w="1384" w:type="dxa"/>
                  <w:vMerge/>
                  <w:tcBorders>
                    <w:top w:val="nil"/>
                    <w:left w:val="single" w:sz="4" w:space="0" w:color="auto"/>
                    <w:bottom w:val="single" w:sz="4" w:space="0" w:color="auto"/>
                    <w:right w:val="single" w:sz="4" w:space="0" w:color="auto"/>
                  </w:tcBorders>
                  <w:vAlign w:val="center"/>
                  <w:hideMark/>
                </w:tcPr>
                <w:p w14:paraId="3EC6CD37" w14:textId="77777777" w:rsidR="001E4D6B" w:rsidRPr="001E4D6B" w:rsidRDefault="001E4D6B" w:rsidP="001E4D6B">
                  <w:pPr>
                    <w:tabs>
                      <w:tab w:val="clear" w:pos="567"/>
                    </w:tabs>
                    <w:spacing w:after="0" w:line="240" w:lineRule="auto"/>
                    <w:jc w:val="left"/>
                    <w:rPr>
                      <w:rFonts w:cs="Calibri"/>
                      <w:b/>
                      <w:bCs/>
                      <w:szCs w:val="22"/>
                      <w:lang w:eastAsia="en-GB"/>
                    </w:rPr>
                  </w:pPr>
                </w:p>
              </w:tc>
              <w:tc>
                <w:tcPr>
                  <w:tcW w:w="1351" w:type="dxa"/>
                  <w:tcBorders>
                    <w:top w:val="nil"/>
                    <w:left w:val="nil"/>
                    <w:bottom w:val="single" w:sz="4" w:space="0" w:color="auto"/>
                    <w:right w:val="single" w:sz="4" w:space="0" w:color="auto"/>
                  </w:tcBorders>
                  <w:vAlign w:val="bottom"/>
                  <w:hideMark/>
                </w:tcPr>
                <w:p w14:paraId="6BBB81C2" w14:textId="77777777" w:rsidR="001E4D6B" w:rsidRPr="001E4D6B" w:rsidRDefault="001E4D6B" w:rsidP="001E4D6B">
                  <w:pPr>
                    <w:tabs>
                      <w:tab w:val="clear" w:pos="567"/>
                    </w:tabs>
                    <w:spacing w:after="0" w:line="240" w:lineRule="auto"/>
                    <w:jc w:val="center"/>
                    <w:rPr>
                      <w:rFonts w:cs="Calibri"/>
                      <w:b/>
                      <w:bCs/>
                      <w:szCs w:val="22"/>
                      <w:lang w:eastAsia="en-GB"/>
                    </w:rPr>
                  </w:pPr>
                  <w:r w:rsidRPr="001E4D6B">
                    <w:rPr>
                      <w:rFonts w:cs="Calibri"/>
                      <w:b/>
                      <w:bCs/>
                      <w:szCs w:val="22"/>
                      <w:lang w:eastAsia="en-GB"/>
                    </w:rPr>
                    <w:t>II</w:t>
                  </w:r>
                </w:p>
              </w:tc>
              <w:tc>
                <w:tcPr>
                  <w:tcW w:w="3112" w:type="dxa"/>
                  <w:tcBorders>
                    <w:top w:val="nil"/>
                    <w:left w:val="nil"/>
                    <w:bottom w:val="single" w:sz="4" w:space="0" w:color="auto"/>
                    <w:right w:val="single" w:sz="4" w:space="0" w:color="auto"/>
                  </w:tcBorders>
                  <w:vAlign w:val="center"/>
                  <w:hideMark/>
                </w:tcPr>
                <w:p w14:paraId="136DD3F5" w14:textId="77777777" w:rsidR="001E4D6B" w:rsidRPr="001E4D6B" w:rsidRDefault="001E4D6B" w:rsidP="001E4D6B">
                  <w:pPr>
                    <w:tabs>
                      <w:tab w:val="clear" w:pos="567"/>
                    </w:tabs>
                    <w:spacing w:after="0" w:line="240" w:lineRule="auto"/>
                    <w:rPr>
                      <w:rFonts w:cs="Calibri"/>
                      <w:b/>
                      <w:bCs/>
                      <w:color w:val="auto"/>
                      <w:szCs w:val="22"/>
                      <w:lang w:eastAsia="en-GB"/>
                    </w:rPr>
                  </w:pPr>
                  <w:r w:rsidRPr="001E4D6B">
                    <w:rPr>
                      <w:rFonts w:cs="Calibri"/>
                      <w:b/>
                      <w:bCs/>
                      <w:color w:val="auto"/>
                      <w:szCs w:val="22"/>
                      <w:lang w:eastAsia="en-GB"/>
                    </w:rPr>
                    <w:t>↓</w:t>
                  </w:r>
                  <w:r w:rsidRPr="001E4D6B">
                    <w:rPr>
                      <w:rFonts w:cs="Calibri"/>
                      <w:b/>
                      <w:bCs/>
                      <w:color w:val="auto"/>
                      <w:szCs w:val="22"/>
                      <w:vertAlign w:val="superscript"/>
                      <w:lang w:eastAsia="en-GB"/>
                    </w:rPr>
                    <w:t>1,5</w:t>
                  </w:r>
                </w:p>
              </w:tc>
              <w:tc>
                <w:tcPr>
                  <w:tcW w:w="1890" w:type="dxa"/>
                  <w:tcBorders>
                    <w:top w:val="nil"/>
                    <w:left w:val="nil"/>
                    <w:bottom w:val="single" w:sz="4" w:space="0" w:color="auto"/>
                    <w:right w:val="single" w:sz="4" w:space="0" w:color="auto"/>
                  </w:tcBorders>
                  <w:vAlign w:val="center"/>
                  <w:hideMark/>
                </w:tcPr>
                <w:p w14:paraId="776927CE" w14:textId="77777777" w:rsidR="001E4D6B" w:rsidRPr="001E4D6B" w:rsidRDefault="001E4D6B" w:rsidP="001E4D6B">
                  <w:pPr>
                    <w:tabs>
                      <w:tab w:val="clear" w:pos="567"/>
                    </w:tabs>
                    <w:spacing w:after="0" w:line="240" w:lineRule="auto"/>
                    <w:rPr>
                      <w:rFonts w:cs="Calibri"/>
                      <w:color w:val="auto"/>
                      <w:szCs w:val="22"/>
                      <w:lang w:eastAsia="en-GB"/>
                    </w:rPr>
                  </w:pPr>
                  <w:r w:rsidRPr="001E4D6B">
                    <w:rPr>
                      <w:rFonts w:cs="Calibri"/>
                      <w:color w:val="auto"/>
                      <w:szCs w:val="22"/>
                      <w:lang w:eastAsia="en-GB"/>
                    </w:rPr>
                    <w:t>↑</w:t>
                  </w:r>
                  <w:r w:rsidRPr="001E4D6B">
                    <w:rPr>
                      <w:rFonts w:cs="Calibri"/>
                      <w:b/>
                      <w:bCs/>
                      <w:color w:val="auto"/>
                      <w:szCs w:val="22"/>
                      <w:vertAlign w:val="superscript"/>
                      <w:lang w:eastAsia="en-GB"/>
                    </w:rPr>
                    <w:t>1,5</w:t>
                  </w:r>
                </w:p>
              </w:tc>
              <w:tc>
                <w:tcPr>
                  <w:tcW w:w="2610" w:type="dxa"/>
                  <w:tcBorders>
                    <w:top w:val="nil"/>
                    <w:left w:val="nil"/>
                    <w:bottom w:val="single" w:sz="4" w:space="0" w:color="auto"/>
                    <w:right w:val="single" w:sz="4" w:space="0" w:color="auto"/>
                  </w:tcBorders>
                  <w:vAlign w:val="center"/>
                  <w:hideMark/>
                </w:tcPr>
                <w:p w14:paraId="182906D2" w14:textId="77777777" w:rsidR="001E4D6B" w:rsidRPr="001E4D6B" w:rsidRDefault="001E4D6B" w:rsidP="001E4D6B">
                  <w:pPr>
                    <w:tabs>
                      <w:tab w:val="clear" w:pos="567"/>
                    </w:tabs>
                    <w:spacing w:after="0" w:line="240" w:lineRule="auto"/>
                    <w:rPr>
                      <w:rFonts w:cs="Calibri"/>
                      <w:color w:val="auto"/>
                      <w:szCs w:val="22"/>
                      <w:lang w:eastAsia="en-GB"/>
                    </w:rPr>
                  </w:pPr>
                  <w:r w:rsidRPr="001E4D6B">
                    <w:rPr>
                      <w:rFonts w:cs="Calibri"/>
                      <w:color w:val="auto"/>
                      <w:szCs w:val="22"/>
                      <w:lang w:eastAsia="en-GB"/>
                    </w:rPr>
                    <w:t>↑</w:t>
                  </w:r>
                  <w:r w:rsidRPr="001E4D6B">
                    <w:rPr>
                      <w:rFonts w:cs="Calibri"/>
                      <w:color w:val="auto"/>
                      <w:szCs w:val="22"/>
                      <w:vertAlign w:val="superscript"/>
                      <w:lang w:eastAsia="en-GB"/>
                    </w:rPr>
                    <w:t>3,5</w:t>
                  </w:r>
                </w:p>
              </w:tc>
              <w:tc>
                <w:tcPr>
                  <w:tcW w:w="1980" w:type="dxa"/>
                  <w:tcBorders>
                    <w:top w:val="nil"/>
                    <w:left w:val="nil"/>
                    <w:bottom w:val="single" w:sz="4" w:space="0" w:color="auto"/>
                    <w:right w:val="single" w:sz="4" w:space="0" w:color="auto"/>
                  </w:tcBorders>
                  <w:shd w:val="clear" w:color="000000" w:fill="FF0000"/>
                  <w:vAlign w:val="center"/>
                  <w:hideMark/>
                </w:tcPr>
                <w:p w14:paraId="78F758DD" w14:textId="77777777" w:rsidR="001E4D6B" w:rsidRPr="001E4D6B" w:rsidRDefault="001E4D6B" w:rsidP="001E4D6B">
                  <w:pPr>
                    <w:tabs>
                      <w:tab w:val="clear" w:pos="567"/>
                    </w:tabs>
                    <w:spacing w:after="0" w:line="240" w:lineRule="auto"/>
                    <w:rPr>
                      <w:rFonts w:cs="Calibri"/>
                      <w:color w:val="000000"/>
                      <w:szCs w:val="22"/>
                      <w:lang w:eastAsia="en-GB"/>
                    </w:rPr>
                  </w:pPr>
                  <w:r w:rsidRPr="001E4D6B">
                    <w:rPr>
                      <w:rFonts w:cs="Calibri"/>
                      <w:color w:val="000000"/>
                      <w:szCs w:val="22"/>
                      <w:lang w:eastAsia="en-GB"/>
                    </w:rPr>
                    <w:t>Significant threat</w:t>
                  </w:r>
                  <w:r w:rsidRPr="001E4D6B">
                    <w:rPr>
                      <w:rFonts w:cs="Calibri"/>
                      <w:color w:val="000000"/>
                      <w:szCs w:val="22"/>
                      <w:vertAlign w:val="superscript"/>
                      <w:lang w:eastAsia="en-GB"/>
                    </w:rPr>
                    <w:t>2,3,5</w:t>
                  </w:r>
                </w:p>
              </w:tc>
            </w:tr>
            <w:tr w:rsidR="001E4D6B" w:rsidRPr="001E4D6B" w14:paraId="69DD0D84" w14:textId="77777777" w:rsidTr="001E4D6B">
              <w:trPr>
                <w:trHeight w:val="660"/>
              </w:trPr>
              <w:tc>
                <w:tcPr>
                  <w:tcW w:w="1384" w:type="dxa"/>
                  <w:vMerge/>
                  <w:tcBorders>
                    <w:top w:val="nil"/>
                    <w:left w:val="single" w:sz="4" w:space="0" w:color="auto"/>
                    <w:bottom w:val="single" w:sz="4" w:space="0" w:color="auto"/>
                    <w:right w:val="single" w:sz="4" w:space="0" w:color="auto"/>
                  </w:tcBorders>
                  <w:vAlign w:val="center"/>
                  <w:hideMark/>
                </w:tcPr>
                <w:p w14:paraId="0F3EC53B" w14:textId="77777777" w:rsidR="001E4D6B" w:rsidRPr="001E4D6B" w:rsidRDefault="001E4D6B" w:rsidP="001E4D6B">
                  <w:pPr>
                    <w:tabs>
                      <w:tab w:val="clear" w:pos="567"/>
                    </w:tabs>
                    <w:spacing w:after="0" w:line="240" w:lineRule="auto"/>
                    <w:jc w:val="left"/>
                    <w:rPr>
                      <w:rFonts w:cs="Calibri"/>
                      <w:b/>
                      <w:bCs/>
                      <w:szCs w:val="22"/>
                      <w:lang w:eastAsia="en-GB"/>
                    </w:rPr>
                  </w:pPr>
                </w:p>
              </w:tc>
              <w:tc>
                <w:tcPr>
                  <w:tcW w:w="1351" w:type="dxa"/>
                  <w:tcBorders>
                    <w:top w:val="nil"/>
                    <w:left w:val="nil"/>
                    <w:bottom w:val="single" w:sz="4" w:space="0" w:color="auto"/>
                    <w:right w:val="single" w:sz="4" w:space="0" w:color="auto"/>
                  </w:tcBorders>
                  <w:vAlign w:val="bottom"/>
                  <w:hideMark/>
                </w:tcPr>
                <w:p w14:paraId="762119BC" w14:textId="77777777" w:rsidR="001E4D6B" w:rsidRPr="001E4D6B" w:rsidRDefault="001E4D6B" w:rsidP="001E4D6B">
                  <w:pPr>
                    <w:tabs>
                      <w:tab w:val="clear" w:pos="567"/>
                    </w:tabs>
                    <w:spacing w:after="0" w:line="240" w:lineRule="auto"/>
                    <w:jc w:val="center"/>
                    <w:rPr>
                      <w:rFonts w:cs="Calibri"/>
                      <w:b/>
                      <w:bCs/>
                      <w:szCs w:val="22"/>
                      <w:lang w:eastAsia="en-GB"/>
                    </w:rPr>
                  </w:pPr>
                  <w:r w:rsidRPr="001E4D6B">
                    <w:rPr>
                      <w:rFonts w:cs="Calibri"/>
                      <w:b/>
                      <w:bCs/>
                      <w:szCs w:val="22"/>
                      <w:lang w:eastAsia="en-GB"/>
                    </w:rPr>
                    <w:t>III</w:t>
                  </w:r>
                </w:p>
              </w:tc>
              <w:tc>
                <w:tcPr>
                  <w:tcW w:w="3112" w:type="dxa"/>
                  <w:tcBorders>
                    <w:top w:val="nil"/>
                    <w:left w:val="nil"/>
                    <w:bottom w:val="single" w:sz="4" w:space="0" w:color="auto"/>
                    <w:right w:val="single" w:sz="4" w:space="0" w:color="auto"/>
                  </w:tcBorders>
                  <w:vAlign w:val="center"/>
                  <w:hideMark/>
                </w:tcPr>
                <w:p w14:paraId="6EE52F10" w14:textId="77777777" w:rsidR="001E4D6B" w:rsidRPr="001E4D6B" w:rsidRDefault="001E4D6B" w:rsidP="001E4D6B">
                  <w:pPr>
                    <w:tabs>
                      <w:tab w:val="clear" w:pos="567"/>
                    </w:tabs>
                    <w:spacing w:after="0" w:line="240" w:lineRule="auto"/>
                    <w:rPr>
                      <w:rFonts w:cs="Calibri"/>
                      <w:b/>
                      <w:bCs/>
                      <w:color w:val="auto"/>
                      <w:szCs w:val="22"/>
                      <w:lang w:eastAsia="en-GB"/>
                    </w:rPr>
                  </w:pPr>
                  <w:r w:rsidRPr="001E4D6B">
                    <w:rPr>
                      <w:rFonts w:cs="Calibri"/>
                      <w:b/>
                      <w:bCs/>
                      <w:color w:val="auto"/>
                      <w:szCs w:val="22"/>
                      <w:lang w:eastAsia="en-GB"/>
                    </w:rPr>
                    <w:t>↓</w:t>
                  </w:r>
                  <w:r w:rsidRPr="001E4D6B">
                    <w:rPr>
                      <w:rFonts w:cs="Calibri"/>
                      <w:b/>
                      <w:bCs/>
                      <w:color w:val="auto"/>
                      <w:szCs w:val="22"/>
                      <w:vertAlign w:val="superscript"/>
                      <w:lang w:eastAsia="en-GB"/>
                    </w:rPr>
                    <w:t>1,5</w:t>
                  </w:r>
                </w:p>
              </w:tc>
              <w:tc>
                <w:tcPr>
                  <w:tcW w:w="1890" w:type="dxa"/>
                  <w:tcBorders>
                    <w:top w:val="nil"/>
                    <w:left w:val="nil"/>
                    <w:bottom w:val="single" w:sz="4" w:space="0" w:color="auto"/>
                    <w:right w:val="single" w:sz="4" w:space="0" w:color="auto"/>
                  </w:tcBorders>
                  <w:vAlign w:val="center"/>
                  <w:hideMark/>
                </w:tcPr>
                <w:p w14:paraId="694B7D0F" w14:textId="77777777" w:rsidR="001E4D6B" w:rsidRPr="001E4D6B" w:rsidRDefault="001E4D6B" w:rsidP="001E4D6B">
                  <w:pPr>
                    <w:tabs>
                      <w:tab w:val="clear" w:pos="567"/>
                    </w:tabs>
                    <w:spacing w:after="0" w:line="240" w:lineRule="auto"/>
                    <w:rPr>
                      <w:rFonts w:cs="Calibri"/>
                      <w:color w:val="auto"/>
                      <w:szCs w:val="22"/>
                      <w:lang w:eastAsia="en-GB"/>
                    </w:rPr>
                  </w:pPr>
                  <w:r w:rsidRPr="001E4D6B">
                    <w:rPr>
                      <w:rFonts w:cs="Calibri"/>
                      <w:color w:val="auto"/>
                      <w:szCs w:val="22"/>
                      <w:lang w:eastAsia="en-GB"/>
                    </w:rPr>
                    <w:t>↑</w:t>
                  </w:r>
                  <w:r w:rsidRPr="001E4D6B">
                    <w:rPr>
                      <w:rFonts w:cs="Calibri"/>
                      <w:b/>
                      <w:bCs/>
                      <w:color w:val="auto"/>
                      <w:szCs w:val="22"/>
                      <w:vertAlign w:val="superscript"/>
                      <w:lang w:eastAsia="en-GB"/>
                    </w:rPr>
                    <w:t>1,5</w:t>
                  </w:r>
                </w:p>
              </w:tc>
              <w:tc>
                <w:tcPr>
                  <w:tcW w:w="2610" w:type="dxa"/>
                  <w:tcBorders>
                    <w:top w:val="nil"/>
                    <w:left w:val="nil"/>
                    <w:bottom w:val="single" w:sz="4" w:space="0" w:color="auto"/>
                    <w:right w:val="single" w:sz="4" w:space="0" w:color="auto"/>
                  </w:tcBorders>
                  <w:vAlign w:val="center"/>
                  <w:hideMark/>
                </w:tcPr>
                <w:p w14:paraId="10099938" w14:textId="77777777" w:rsidR="001E4D6B" w:rsidRPr="001E4D6B" w:rsidRDefault="001E4D6B" w:rsidP="001E4D6B">
                  <w:pPr>
                    <w:tabs>
                      <w:tab w:val="clear" w:pos="567"/>
                    </w:tabs>
                    <w:spacing w:after="0" w:line="240" w:lineRule="auto"/>
                    <w:rPr>
                      <w:rFonts w:cs="Calibri"/>
                      <w:color w:val="auto"/>
                      <w:szCs w:val="22"/>
                      <w:lang w:eastAsia="en-GB"/>
                    </w:rPr>
                  </w:pPr>
                  <w:r w:rsidRPr="001E4D6B">
                    <w:rPr>
                      <w:rFonts w:cs="Calibri"/>
                      <w:color w:val="auto"/>
                      <w:szCs w:val="22"/>
                      <w:lang w:eastAsia="en-GB"/>
                    </w:rPr>
                    <w:t>↑</w:t>
                  </w:r>
                  <w:r w:rsidRPr="001E4D6B">
                    <w:rPr>
                      <w:rFonts w:cs="Calibri"/>
                      <w:color w:val="auto"/>
                      <w:szCs w:val="22"/>
                      <w:vertAlign w:val="superscript"/>
                      <w:lang w:eastAsia="en-GB"/>
                    </w:rPr>
                    <w:t>3,5</w:t>
                  </w:r>
                </w:p>
              </w:tc>
              <w:tc>
                <w:tcPr>
                  <w:tcW w:w="1980" w:type="dxa"/>
                  <w:tcBorders>
                    <w:top w:val="nil"/>
                    <w:left w:val="nil"/>
                    <w:bottom w:val="single" w:sz="4" w:space="0" w:color="auto"/>
                    <w:right w:val="single" w:sz="4" w:space="0" w:color="auto"/>
                  </w:tcBorders>
                  <w:shd w:val="clear" w:color="000000" w:fill="FF0000"/>
                  <w:vAlign w:val="center"/>
                  <w:hideMark/>
                </w:tcPr>
                <w:p w14:paraId="5B47BAFB" w14:textId="77777777" w:rsidR="001E4D6B" w:rsidRPr="001E4D6B" w:rsidRDefault="001E4D6B" w:rsidP="001E4D6B">
                  <w:pPr>
                    <w:tabs>
                      <w:tab w:val="clear" w:pos="567"/>
                    </w:tabs>
                    <w:spacing w:after="0" w:line="240" w:lineRule="auto"/>
                    <w:rPr>
                      <w:rFonts w:cs="Calibri"/>
                      <w:color w:val="000000"/>
                      <w:szCs w:val="22"/>
                      <w:lang w:eastAsia="en-GB"/>
                    </w:rPr>
                  </w:pPr>
                  <w:r w:rsidRPr="001E4D6B">
                    <w:rPr>
                      <w:rFonts w:cs="Calibri"/>
                      <w:color w:val="000000"/>
                      <w:szCs w:val="22"/>
                      <w:lang w:eastAsia="en-GB"/>
                    </w:rPr>
                    <w:t>Significant threat</w:t>
                  </w:r>
                  <w:r w:rsidRPr="001E4D6B">
                    <w:rPr>
                      <w:rFonts w:cs="Calibri"/>
                      <w:color w:val="000000"/>
                      <w:szCs w:val="22"/>
                      <w:vertAlign w:val="superscript"/>
                      <w:lang w:eastAsia="en-GB"/>
                    </w:rPr>
                    <w:t>2,3,5</w:t>
                  </w:r>
                </w:p>
              </w:tc>
            </w:tr>
            <w:tr w:rsidR="001E4D6B" w:rsidRPr="001E4D6B" w14:paraId="4F874C49" w14:textId="77777777" w:rsidTr="001E4D6B">
              <w:trPr>
                <w:trHeight w:val="345"/>
              </w:trPr>
              <w:tc>
                <w:tcPr>
                  <w:tcW w:w="1384" w:type="dxa"/>
                  <w:vMerge/>
                  <w:tcBorders>
                    <w:top w:val="nil"/>
                    <w:left w:val="single" w:sz="4" w:space="0" w:color="auto"/>
                    <w:bottom w:val="single" w:sz="4" w:space="0" w:color="auto"/>
                    <w:right w:val="single" w:sz="4" w:space="0" w:color="auto"/>
                  </w:tcBorders>
                  <w:vAlign w:val="center"/>
                  <w:hideMark/>
                </w:tcPr>
                <w:p w14:paraId="605C7517" w14:textId="77777777" w:rsidR="001E4D6B" w:rsidRPr="001E4D6B" w:rsidRDefault="001E4D6B" w:rsidP="001E4D6B">
                  <w:pPr>
                    <w:tabs>
                      <w:tab w:val="clear" w:pos="567"/>
                    </w:tabs>
                    <w:spacing w:after="0" w:line="240" w:lineRule="auto"/>
                    <w:jc w:val="left"/>
                    <w:rPr>
                      <w:rFonts w:cs="Calibri"/>
                      <w:b/>
                      <w:bCs/>
                      <w:szCs w:val="22"/>
                      <w:lang w:eastAsia="en-GB"/>
                    </w:rPr>
                  </w:pPr>
                </w:p>
              </w:tc>
              <w:tc>
                <w:tcPr>
                  <w:tcW w:w="1351" w:type="dxa"/>
                  <w:tcBorders>
                    <w:top w:val="nil"/>
                    <w:left w:val="nil"/>
                    <w:bottom w:val="single" w:sz="4" w:space="0" w:color="auto"/>
                    <w:right w:val="single" w:sz="4" w:space="0" w:color="auto"/>
                  </w:tcBorders>
                  <w:vAlign w:val="bottom"/>
                  <w:hideMark/>
                </w:tcPr>
                <w:p w14:paraId="5604E206" w14:textId="77777777" w:rsidR="001E4D6B" w:rsidRPr="001E4D6B" w:rsidRDefault="001E4D6B" w:rsidP="001E4D6B">
                  <w:pPr>
                    <w:tabs>
                      <w:tab w:val="clear" w:pos="567"/>
                    </w:tabs>
                    <w:spacing w:after="0" w:line="240" w:lineRule="auto"/>
                    <w:jc w:val="center"/>
                    <w:rPr>
                      <w:rFonts w:cs="Calibri"/>
                      <w:b/>
                      <w:bCs/>
                      <w:szCs w:val="22"/>
                      <w:lang w:eastAsia="en-GB"/>
                    </w:rPr>
                  </w:pPr>
                  <w:r w:rsidRPr="001E4D6B">
                    <w:rPr>
                      <w:rFonts w:cs="Calibri"/>
                      <w:b/>
                      <w:bCs/>
                      <w:szCs w:val="22"/>
                      <w:lang w:eastAsia="en-GB"/>
                    </w:rPr>
                    <w:t>IV</w:t>
                  </w:r>
                </w:p>
              </w:tc>
              <w:tc>
                <w:tcPr>
                  <w:tcW w:w="3112" w:type="dxa"/>
                  <w:tcBorders>
                    <w:top w:val="nil"/>
                    <w:left w:val="nil"/>
                    <w:bottom w:val="single" w:sz="4" w:space="0" w:color="auto"/>
                    <w:right w:val="single" w:sz="4" w:space="0" w:color="auto"/>
                  </w:tcBorders>
                  <w:vAlign w:val="bottom"/>
                  <w:hideMark/>
                </w:tcPr>
                <w:p w14:paraId="145FE4E3" w14:textId="77777777" w:rsidR="001E4D6B" w:rsidRPr="001E4D6B" w:rsidRDefault="001E4D6B" w:rsidP="001E4D6B">
                  <w:pPr>
                    <w:tabs>
                      <w:tab w:val="clear" w:pos="567"/>
                    </w:tabs>
                    <w:spacing w:after="0" w:line="240" w:lineRule="auto"/>
                    <w:rPr>
                      <w:rFonts w:cs="Calibri"/>
                      <w:color w:val="auto"/>
                      <w:szCs w:val="22"/>
                      <w:lang w:eastAsia="en-GB"/>
                    </w:rPr>
                  </w:pPr>
                  <w:r w:rsidRPr="001E4D6B">
                    <w:rPr>
                      <w:rFonts w:cs="Calibri"/>
                      <w:color w:val="auto"/>
                      <w:szCs w:val="22"/>
                      <w:lang w:eastAsia="en-GB"/>
                    </w:rPr>
                    <w:t> </w:t>
                  </w:r>
                </w:p>
              </w:tc>
              <w:tc>
                <w:tcPr>
                  <w:tcW w:w="1890" w:type="dxa"/>
                  <w:tcBorders>
                    <w:top w:val="nil"/>
                    <w:left w:val="nil"/>
                    <w:bottom w:val="single" w:sz="4" w:space="0" w:color="auto"/>
                    <w:right w:val="single" w:sz="4" w:space="0" w:color="auto"/>
                  </w:tcBorders>
                  <w:vAlign w:val="bottom"/>
                  <w:hideMark/>
                </w:tcPr>
                <w:p w14:paraId="3DDC90BD" w14:textId="77777777" w:rsidR="001E4D6B" w:rsidRPr="001E4D6B" w:rsidRDefault="001E4D6B" w:rsidP="001E4D6B">
                  <w:pPr>
                    <w:tabs>
                      <w:tab w:val="clear" w:pos="567"/>
                    </w:tabs>
                    <w:spacing w:after="0" w:line="240" w:lineRule="auto"/>
                    <w:rPr>
                      <w:rFonts w:cs="Calibri"/>
                      <w:color w:val="auto"/>
                      <w:szCs w:val="22"/>
                      <w:lang w:eastAsia="en-GB"/>
                    </w:rPr>
                  </w:pPr>
                  <w:r w:rsidRPr="001E4D6B">
                    <w:rPr>
                      <w:rFonts w:cs="Calibri"/>
                      <w:color w:val="auto"/>
                      <w:szCs w:val="22"/>
                      <w:lang w:eastAsia="en-GB"/>
                    </w:rPr>
                    <w:t> </w:t>
                  </w:r>
                </w:p>
              </w:tc>
              <w:tc>
                <w:tcPr>
                  <w:tcW w:w="2610" w:type="dxa"/>
                  <w:tcBorders>
                    <w:top w:val="nil"/>
                    <w:left w:val="nil"/>
                    <w:bottom w:val="single" w:sz="4" w:space="0" w:color="auto"/>
                    <w:right w:val="single" w:sz="4" w:space="0" w:color="auto"/>
                  </w:tcBorders>
                  <w:vAlign w:val="bottom"/>
                  <w:hideMark/>
                </w:tcPr>
                <w:p w14:paraId="51A965F2" w14:textId="77777777" w:rsidR="001E4D6B" w:rsidRPr="001E4D6B" w:rsidRDefault="001E4D6B" w:rsidP="001E4D6B">
                  <w:pPr>
                    <w:tabs>
                      <w:tab w:val="clear" w:pos="567"/>
                    </w:tabs>
                    <w:spacing w:after="0" w:line="240" w:lineRule="auto"/>
                    <w:rPr>
                      <w:rFonts w:cs="Calibri"/>
                      <w:color w:val="auto"/>
                      <w:szCs w:val="22"/>
                      <w:lang w:eastAsia="en-GB"/>
                    </w:rPr>
                  </w:pPr>
                  <w:r w:rsidRPr="001E4D6B">
                    <w:rPr>
                      <w:rFonts w:cs="Calibri"/>
                      <w:color w:val="auto"/>
                      <w:szCs w:val="22"/>
                      <w:lang w:eastAsia="en-GB"/>
                    </w:rPr>
                    <w:t> </w:t>
                  </w:r>
                </w:p>
              </w:tc>
              <w:tc>
                <w:tcPr>
                  <w:tcW w:w="1980" w:type="dxa"/>
                  <w:tcBorders>
                    <w:top w:val="nil"/>
                    <w:left w:val="nil"/>
                    <w:bottom w:val="single" w:sz="4" w:space="0" w:color="auto"/>
                    <w:right w:val="single" w:sz="4" w:space="0" w:color="auto"/>
                  </w:tcBorders>
                  <w:vAlign w:val="bottom"/>
                  <w:hideMark/>
                </w:tcPr>
                <w:p w14:paraId="6AB8D319" w14:textId="77777777" w:rsidR="001E4D6B" w:rsidRPr="001E4D6B" w:rsidRDefault="001E4D6B" w:rsidP="001E4D6B">
                  <w:pPr>
                    <w:tabs>
                      <w:tab w:val="clear" w:pos="567"/>
                    </w:tabs>
                    <w:spacing w:after="0" w:line="240" w:lineRule="auto"/>
                    <w:rPr>
                      <w:rFonts w:cs="Calibri"/>
                      <w:color w:val="auto"/>
                      <w:szCs w:val="22"/>
                      <w:lang w:eastAsia="en-GB"/>
                    </w:rPr>
                  </w:pPr>
                  <w:r w:rsidRPr="001E4D6B">
                    <w:rPr>
                      <w:rFonts w:cs="Calibri"/>
                      <w:color w:val="auto"/>
                      <w:szCs w:val="22"/>
                      <w:lang w:eastAsia="en-GB"/>
                    </w:rPr>
                    <w:t> </w:t>
                  </w:r>
                </w:p>
              </w:tc>
            </w:tr>
            <w:tr w:rsidR="001E4D6B" w:rsidRPr="001E4D6B" w14:paraId="6C941A66" w14:textId="77777777" w:rsidTr="001E4D6B">
              <w:trPr>
                <w:trHeight w:val="345"/>
              </w:trPr>
              <w:tc>
                <w:tcPr>
                  <w:tcW w:w="1384" w:type="dxa"/>
                  <w:vMerge/>
                  <w:tcBorders>
                    <w:top w:val="nil"/>
                    <w:left w:val="single" w:sz="4" w:space="0" w:color="auto"/>
                    <w:bottom w:val="single" w:sz="4" w:space="0" w:color="auto"/>
                    <w:right w:val="single" w:sz="4" w:space="0" w:color="auto"/>
                  </w:tcBorders>
                  <w:vAlign w:val="center"/>
                  <w:hideMark/>
                </w:tcPr>
                <w:p w14:paraId="14865D12" w14:textId="77777777" w:rsidR="001E4D6B" w:rsidRPr="001E4D6B" w:rsidRDefault="001E4D6B" w:rsidP="001E4D6B">
                  <w:pPr>
                    <w:tabs>
                      <w:tab w:val="clear" w:pos="567"/>
                    </w:tabs>
                    <w:spacing w:after="0" w:line="240" w:lineRule="auto"/>
                    <w:jc w:val="left"/>
                    <w:rPr>
                      <w:rFonts w:cs="Calibri"/>
                      <w:b/>
                      <w:bCs/>
                      <w:szCs w:val="22"/>
                      <w:lang w:eastAsia="en-GB"/>
                    </w:rPr>
                  </w:pPr>
                </w:p>
              </w:tc>
              <w:tc>
                <w:tcPr>
                  <w:tcW w:w="1351" w:type="dxa"/>
                  <w:tcBorders>
                    <w:top w:val="nil"/>
                    <w:left w:val="nil"/>
                    <w:bottom w:val="single" w:sz="4" w:space="0" w:color="auto"/>
                    <w:right w:val="single" w:sz="4" w:space="0" w:color="auto"/>
                  </w:tcBorders>
                  <w:vAlign w:val="bottom"/>
                  <w:hideMark/>
                </w:tcPr>
                <w:p w14:paraId="01AD3922" w14:textId="77777777" w:rsidR="001E4D6B" w:rsidRPr="001E4D6B" w:rsidRDefault="001E4D6B" w:rsidP="001E4D6B">
                  <w:pPr>
                    <w:tabs>
                      <w:tab w:val="clear" w:pos="567"/>
                    </w:tabs>
                    <w:spacing w:after="0" w:line="240" w:lineRule="auto"/>
                    <w:jc w:val="center"/>
                    <w:rPr>
                      <w:rFonts w:cs="Calibri"/>
                      <w:b/>
                      <w:bCs/>
                      <w:szCs w:val="22"/>
                      <w:lang w:eastAsia="en-GB"/>
                    </w:rPr>
                  </w:pPr>
                  <w:r w:rsidRPr="001E4D6B">
                    <w:rPr>
                      <w:rFonts w:cs="Calibri"/>
                      <w:b/>
                      <w:bCs/>
                      <w:szCs w:val="22"/>
                      <w:lang w:eastAsia="en-GB"/>
                    </w:rPr>
                    <w:t>V</w:t>
                  </w:r>
                </w:p>
              </w:tc>
              <w:tc>
                <w:tcPr>
                  <w:tcW w:w="3112" w:type="dxa"/>
                  <w:tcBorders>
                    <w:top w:val="nil"/>
                    <w:left w:val="nil"/>
                    <w:bottom w:val="single" w:sz="4" w:space="0" w:color="auto"/>
                    <w:right w:val="single" w:sz="4" w:space="0" w:color="auto"/>
                  </w:tcBorders>
                  <w:vAlign w:val="bottom"/>
                  <w:hideMark/>
                </w:tcPr>
                <w:p w14:paraId="6D758CAA" w14:textId="77777777" w:rsidR="001E4D6B" w:rsidRPr="001E4D6B" w:rsidRDefault="001E4D6B" w:rsidP="001E4D6B">
                  <w:pPr>
                    <w:tabs>
                      <w:tab w:val="clear" w:pos="567"/>
                    </w:tabs>
                    <w:spacing w:after="0" w:line="240" w:lineRule="auto"/>
                    <w:rPr>
                      <w:rFonts w:cs="Calibri"/>
                      <w:color w:val="auto"/>
                      <w:szCs w:val="22"/>
                      <w:lang w:eastAsia="en-GB"/>
                    </w:rPr>
                  </w:pPr>
                  <w:r w:rsidRPr="001E4D6B">
                    <w:rPr>
                      <w:rFonts w:cs="Calibri"/>
                      <w:color w:val="auto"/>
                      <w:szCs w:val="22"/>
                      <w:lang w:eastAsia="en-GB"/>
                    </w:rPr>
                    <w:t> </w:t>
                  </w:r>
                </w:p>
              </w:tc>
              <w:tc>
                <w:tcPr>
                  <w:tcW w:w="1890" w:type="dxa"/>
                  <w:tcBorders>
                    <w:top w:val="nil"/>
                    <w:left w:val="nil"/>
                    <w:bottom w:val="single" w:sz="4" w:space="0" w:color="auto"/>
                    <w:right w:val="single" w:sz="4" w:space="0" w:color="auto"/>
                  </w:tcBorders>
                  <w:vAlign w:val="bottom"/>
                  <w:hideMark/>
                </w:tcPr>
                <w:p w14:paraId="51A24241" w14:textId="77777777" w:rsidR="001E4D6B" w:rsidRPr="001E4D6B" w:rsidRDefault="001E4D6B" w:rsidP="001E4D6B">
                  <w:pPr>
                    <w:tabs>
                      <w:tab w:val="clear" w:pos="567"/>
                    </w:tabs>
                    <w:spacing w:after="0" w:line="240" w:lineRule="auto"/>
                    <w:rPr>
                      <w:rFonts w:cs="Calibri"/>
                      <w:color w:val="auto"/>
                      <w:szCs w:val="22"/>
                      <w:lang w:eastAsia="en-GB"/>
                    </w:rPr>
                  </w:pPr>
                  <w:r w:rsidRPr="001E4D6B">
                    <w:rPr>
                      <w:rFonts w:cs="Calibri"/>
                      <w:color w:val="auto"/>
                      <w:szCs w:val="22"/>
                      <w:lang w:eastAsia="en-GB"/>
                    </w:rPr>
                    <w:t> </w:t>
                  </w:r>
                </w:p>
              </w:tc>
              <w:tc>
                <w:tcPr>
                  <w:tcW w:w="2610" w:type="dxa"/>
                  <w:tcBorders>
                    <w:top w:val="nil"/>
                    <w:left w:val="nil"/>
                    <w:bottom w:val="single" w:sz="4" w:space="0" w:color="auto"/>
                    <w:right w:val="single" w:sz="4" w:space="0" w:color="auto"/>
                  </w:tcBorders>
                  <w:vAlign w:val="bottom"/>
                  <w:hideMark/>
                </w:tcPr>
                <w:p w14:paraId="58D4A921" w14:textId="77777777" w:rsidR="001E4D6B" w:rsidRPr="001E4D6B" w:rsidRDefault="001E4D6B" w:rsidP="001E4D6B">
                  <w:pPr>
                    <w:tabs>
                      <w:tab w:val="clear" w:pos="567"/>
                    </w:tabs>
                    <w:spacing w:after="0" w:line="240" w:lineRule="auto"/>
                    <w:rPr>
                      <w:rFonts w:cs="Calibri"/>
                      <w:color w:val="auto"/>
                      <w:szCs w:val="22"/>
                      <w:lang w:eastAsia="en-GB"/>
                    </w:rPr>
                  </w:pPr>
                  <w:r w:rsidRPr="001E4D6B">
                    <w:rPr>
                      <w:rFonts w:cs="Calibri"/>
                      <w:color w:val="auto"/>
                      <w:szCs w:val="22"/>
                      <w:lang w:eastAsia="en-GB"/>
                    </w:rPr>
                    <w:t> </w:t>
                  </w:r>
                </w:p>
              </w:tc>
              <w:tc>
                <w:tcPr>
                  <w:tcW w:w="1980" w:type="dxa"/>
                  <w:tcBorders>
                    <w:top w:val="nil"/>
                    <w:left w:val="nil"/>
                    <w:bottom w:val="single" w:sz="4" w:space="0" w:color="auto"/>
                    <w:right w:val="single" w:sz="4" w:space="0" w:color="auto"/>
                  </w:tcBorders>
                  <w:vAlign w:val="bottom"/>
                  <w:hideMark/>
                </w:tcPr>
                <w:p w14:paraId="716937F1" w14:textId="77777777" w:rsidR="001E4D6B" w:rsidRPr="001E4D6B" w:rsidRDefault="001E4D6B" w:rsidP="001E4D6B">
                  <w:pPr>
                    <w:tabs>
                      <w:tab w:val="clear" w:pos="567"/>
                    </w:tabs>
                    <w:spacing w:after="0" w:line="240" w:lineRule="auto"/>
                    <w:rPr>
                      <w:rFonts w:cs="Calibri"/>
                      <w:color w:val="auto"/>
                      <w:szCs w:val="22"/>
                      <w:lang w:eastAsia="en-GB"/>
                    </w:rPr>
                  </w:pPr>
                  <w:r w:rsidRPr="001E4D6B">
                    <w:rPr>
                      <w:rFonts w:cs="Calibri"/>
                      <w:color w:val="auto"/>
                      <w:szCs w:val="22"/>
                      <w:lang w:eastAsia="en-GB"/>
                    </w:rPr>
                    <w:t> </w:t>
                  </w:r>
                </w:p>
              </w:tc>
            </w:tr>
          </w:tbl>
          <w:p w14:paraId="6E388755" w14:textId="77777777" w:rsidR="001E4D6B" w:rsidRDefault="001E4D6B" w:rsidP="00E40E80">
            <w:pPr>
              <w:tabs>
                <w:tab w:val="clear" w:pos="567"/>
                <w:tab w:val="left" w:pos="2580"/>
              </w:tabs>
              <w:spacing w:after="0" w:line="240" w:lineRule="auto"/>
              <w:rPr>
                <w:rFonts w:asciiTheme="minorHAnsi" w:hAnsiTheme="minorHAnsi" w:cstheme="minorHAnsi"/>
                <w:color w:val="auto"/>
                <w:szCs w:val="22"/>
                <w:lang w:val="en-GB"/>
              </w:rPr>
            </w:pPr>
          </w:p>
          <w:p w14:paraId="22BAA9BB" w14:textId="1E9C5368" w:rsidR="001A3F8D" w:rsidRPr="003D4093" w:rsidRDefault="001A3F8D" w:rsidP="00E40E80">
            <w:pPr>
              <w:tabs>
                <w:tab w:val="clear" w:pos="567"/>
                <w:tab w:val="left" w:pos="2580"/>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Explanation to table: </w:t>
            </w:r>
          </w:p>
          <w:p w14:paraId="6E0E1DF5" w14:textId="77777777" w:rsidR="001A3F8D" w:rsidRPr="003D4093" w:rsidRDefault="001A3F8D" w:rsidP="00E40E80">
            <w:pPr>
              <w:tabs>
                <w:tab w:val="clear" w:pos="567"/>
                <w:tab w:val="left" w:pos="2580"/>
              </w:tabs>
              <w:spacing w:after="0" w:line="240" w:lineRule="auto"/>
              <w:rPr>
                <w:rFonts w:asciiTheme="minorHAnsi" w:hAnsiTheme="minorHAnsi" w:cstheme="minorHAnsi"/>
                <w:color w:val="auto"/>
                <w:szCs w:val="22"/>
                <w:lang w:val="en-GB"/>
              </w:rPr>
            </w:pPr>
            <w:r w:rsidRPr="003D4093">
              <w:rPr>
                <w:rFonts w:asciiTheme="minorHAnsi" w:hAnsiTheme="minorHAnsi" w:cstheme="minorHAnsi"/>
                <w:b/>
                <w:color w:val="auto"/>
                <w:szCs w:val="22"/>
                <w:u w:val="single"/>
                <w:lang w:val="en-GB"/>
              </w:rPr>
              <w:t>Key pressure</w:t>
            </w:r>
          </w:p>
          <w:p w14:paraId="2EA03498"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b/>
                <w:bCs/>
                <w:color w:val="auto"/>
                <w:szCs w:val="22"/>
                <w:lang w:val="en-GB"/>
              </w:rPr>
              <w:t>↓</w:t>
            </w:r>
            <w:r w:rsidRPr="003D4093">
              <w:rPr>
                <w:rFonts w:asciiTheme="minorHAnsi" w:hAnsiTheme="minorHAnsi" w:cstheme="minorHAnsi"/>
                <w:b/>
                <w:bCs/>
                <w:color w:val="auto"/>
                <w:szCs w:val="22"/>
                <w:lang w:val="en-GB"/>
              </w:rPr>
              <w:tab/>
            </w:r>
            <w:r w:rsidRPr="003D4093">
              <w:rPr>
                <w:rFonts w:asciiTheme="minorHAnsi" w:hAnsiTheme="minorHAnsi" w:cstheme="minorHAnsi"/>
                <w:color w:val="auto"/>
                <w:szCs w:val="22"/>
                <w:lang w:val="en-GB"/>
              </w:rPr>
              <w:t xml:space="preserve">key pressures and human activities reducing </w:t>
            </w:r>
          </w:p>
          <w:p w14:paraId="530E76F8" w14:textId="77777777" w:rsidR="001A3F8D" w:rsidRPr="003D4093" w:rsidRDefault="001A3F8D" w:rsidP="00E40E80">
            <w:pPr>
              <w:tabs>
                <w:tab w:val="clear" w:pos="567"/>
              </w:tabs>
              <w:spacing w:after="0" w:line="240" w:lineRule="auto"/>
              <w:rPr>
                <w:rFonts w:asciiTheme="minorHAnsi" w:hAnsiTheme="minorHAnsi" w:cstheme="minorHAnsi"/>
                <w:b/>
                <w:bCs/>
                <w:color w:val="auto"/>
                <w:szCs w:val="22"/>
                <w:lang w:val="en-GB"/>
              </w:rPr>
            </w:pPr>
            <w:r w:rsidRPr="003D4093">
              <w:rPr>
                <w:rFonts w:asciiTheme="minorHAnsi" w:hAnsiTheme="minorHAnsi" w:cstheme="minorHAnsi"/>
                <w:b/>
                <w:bCs/>
                <w:color w:val="auto"/>
                <w:szCs w:val="22"/>
                <w:lang w:val="en-GB"/>
              </w:rPr>
              <w:t>↑</w:t>
            </w:r>
            <w:r w:rsidRPr="003D4093">
              <w:rPr>
                <w:rFonts w:asciiTheme="minorHAnsi" w:hAnsiTheme="minorHAnsi" w:cstheme="minorHAnsi"/>
                <w:b/>
                <w:bCs/>
                <w:color w:val="auto"/>
                <w:szCs w:val="22"/>
                <w:lang w:val="en-GB"/>
              </w:rPr>
              <w:tab/>
            </w:r>
            <w:r w:rsidRPr="003D4093">
              <w:rPr>
                <w:rFonts w:asciiTheme="minorHAnsi" w:hAnsiTheme="minorHAnsi" w:cstheme="minorHAnsi"/>
                <w:color w:val="auto"/>
                <w:szCs w:val="22"/>
                <w:lang w:val="en-GB"/>
              </w:rPr>
              <w:t>key pressures and human activities increasing</w:t>
            </w:r>
          </w:p>
          <w:p w14:paraId="6CF6FA6F"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b/>
                <w:bCs/>
                <w:color w:val="auto"/>
                <w:szCs w:val="22"/>
                <w:lang w:val="en-GB"/>
              </w:rPr>
              <w:t xml:space="preserve">←→ </w:t>
            </w:r>
            <w:r w:rsidRPr="003D4093">
              <w:rPr>
                <w:rFonts w:asciiTheme="minorHAnsi" w:hAnsiTheme="minorHAnsi" w:cstheme="minorHAnsi"/>
                <w:b/>
                <w:bCs/>
                <w:color w:val="auto"/>
                <w:szCs w:val="22"/>
                <w:lang w:val="en-GB"/>
              </w:rPr>
              <w:tab/>
            </w:r>
            <w:r w:rsidRPr="003D4093">
              <w:rPr>
                <w:rFonts w:asciiTheme="minorHAnsi" w:hAnsiTheme="minorHAnsi" w:cstheme="minorHAnsi"/>
                <w:color w:val="auto"/>
                <w:szCs w:val="22"/>
                <w:lang w:val="en-GB"/>
              </w:rPr>
              <w:t>no change in key pressures and human activities</w:t>
            </w:r>
          </w:p>
          <w:p w14:paraId="59F25535" w14:textId="77777777" w:rsidR="001A3F8D" w:rsidRPr="003D4093" w:rsidRDefault="001A3F8D" w:rsidP="00E40E80">
            <w:pPr>
              <w:tabs>
                <w:tab w:val="clear" w:pos="567"/>
              </w:tabs>
              <w:spacing w:after="0" w:line="240" w:lineRule="auto"/>
              <w:rPr>
                <w:rFonts w:asciiTheme="minorHAnsi" w:hAnsiTheme="minorHAnsi" w:cstheme="minorHAnsi"/>
                <w:b/>
                <w:bCs/>
                <w:color w:val="auto"/>
                <w:szCs w:val="22"/>
                <w:lang w:val="en-GB"/>
              </w:rPr>
            </w:pPr>
            <w:r w:rsidRPr="003D4093">
              <w:rPr>
                <w:rFonts w:asciiTheme="minorHAnsi" w:hAnsiTheme="minorHAnsi" w:cstheme="minorHAnsi"/>
                <w:b/>
                <w:bCs/>
                <w:color w:val="auto"/>
                <w:szCs w:val="22"/>
                <w:lang w:val="en-GB"/>
              </w:rPr>
              <w:t xml:space="preserve">? </w:t>
            </w:r>
            <w:r w:rsidRPr="003D4093">
              <w:rPr>
                <w:rFonts w:asciiTheme="minorHAnsi" w:hAnsiTheme="minorHAnsi" w:cstheme="minorHAnsi"/>
                <w:color w:val="auto"/>
                <w:szCs w:val="22"/>
                <w:lang w:val="en-GB"/>
              </w:rPr>
              <w:t>Change in pressure and human activities uncertain</w:t>
            </w:r>
          </w:p>
          <w:p w14:paraId="40BBA6D9" w14:textId="77777777" w:rsidR="001A3F8D" w:rsidRPr="003D4093" w:rsidRDefault="001A3F8D" w:rsidP="00E40E80">
            <w:pPr>
              <w:tabs>
                <w:tab w:val="clear" w:pos="567"/>
              </w:tabs>
              <w:spacing w:after="0" w:line="240" w:lineRule="auto"/>
              <w:rPr>
                <w:rFonts w:asciiTheme="minorHAnsi" w:hAnsiTheme="minorHAnsi" w:cstheme="minorHAnsi"/>
                <w:b/>
                <w:color w:val="auto"/>
                <w:szCs w:val="22"/>
                <w:u w:val="single"/>
                <w:lang w:val="en-GB"/>
              </w:rPr>
            </w:pPr>
            <w:r w:rsidRPr="003D4093">
              <w:rPr>
                <w:rFonts w:asciiTheme="minorHAnsi" w:hAnsiTheme="minorHAnsi" w:cstheme="minorHAnsi"/>
                <w:b/>
                <w:color w:val="auto"/>
                <w:szCs w:val="22"/>
                <w:u w:val="single"/>
                <w:lang w:val="en-GB"/>
              </w:rPr>
              <w:t xml:space="preserve">Threat or impact </w:t>
            </w:r>
            <w:r w:rsidRPr="003D4093">
              <w:rPr>
                <w:rFonts w:asciiTheme="minorHAnsi" w:hAnsiTheme="minorHAnsi" w:cstheme="minorHAnsi"/>
                <w:color w:val="auto"/>
                <w:szCs w:val="22"/>
                <w:lang w:val="en-GB"/>
              </w:rPr>
              <w:t>(overall assessment)</w:t>
            </w:r>
          </w:p>
          <w:p w14:paraId="79FCAF71"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highlight w:val="red"/>
                <w:lang w:val="en-GB"/>
              </w:rPr>
              <w:t>red</w:t>
            </w:r>
            <w:r w:rsidRPr="003D4093">
              <w:rPr>
                <w:rFonts w:asciiTheme="minorHAnsi" w:hAnsiTheme="minorHAnsi" w:cstheme="minorHAnsi"/>
                <w:color w:val="auto"/>
                <w:szCs w:val="22"/>
                <w:lang w:val="en-GB"/>
              </w:rPr>
              <w:t xml:space="preserve"> – significant threat or impact</w:t>
            </w:r>
          </w:p>
          <w:p w14:paraId="6DE36F5E"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highlight w:val="green"/>
                <w:lang w:val="en-GB"/>
              </w:rPr>
              <w:t>green</w:t>
            </w:r>
            <w:r w:rsidRPr="003D4093">
              <w:rPr>
                <w:rFonts w:asciiTheme="minorHAnsi" w:hAnsiTheme="minorHAnsi" w:cstheme="minorHAnsi"/>
                <w:color w:val="auto"/>
                <w:szCs w:val="22"/>
                <w:lang w:val="en-GB"/>
              </w:rPr>
              <w:t xml:space="preserve"> –no evidence of a significant threat or impact</w:t>
            </w:r>
          </w:p>
          <w:p w14:paraId="493469F3" w14:textId="77777777" w:rsidR="001A3F8D" w:rsidRPr="003D4093" w:rsidRDefault="001A3F8D" w:rsidP="00E40E80">
            <w:pPr>
              <w:tabs>
                <w:tab w:val="clear" w:pos="567"/>
              </w:tabs>
              <w:spacing w:after="0" w:line="240" w:lineRule="auto"/>
              <w:rPr>
                <w:rFonts w:asciiTheme="minorHAnsi" w:hAnsiTheme="minorHAnsi" w:cstheme="minorHAnsi"/>
                <w:b/>
                <w:color w:val="auto"/>
                <w:szCs w:val="22"/>
                <w:u w:val="single"/>
                <w:lang w:val="en-GB"/>
              </w:rPr>
            </w:pPr>
            <w:r w:rsidRPr="003D4093">
              <w:rPr>
                <w:rFonts w:asciiTheme="minorHAnsi" w:hAnsiTheme="minorHAnsi" w:cstheme="minorHAnsi"/>
                <w:color w:val="auto"/>
                <w:szCs w:val="22"/>
                <w:shd w:val="clear" w:color="auto" w:fill="DAEEF3"/>
                <w:lang w:val="en-GB"/>
              </w:rPr>
              <w:t>blue</w:t>
            </w:r>
            <w:r w:rsidRPr="003D4093">
              <w:rPr>
                <w:rFonts w:asciiTheme="minorHAnsi" w:hAnsiTheme="minorHAnsi" w:cstheme="minorHAnsi"/>
                <w:color w:val="auto"/>
                <w:szCs w:val="22"/>
                <w:lang w:val="en-GB"/>
              </w:rPr>
              <w:t>–? insufficient information available</w:t>
            </w:r>
            <w:r w:rsidRPr="003D4093">
              <w:rPr>
                <w:rFonts w:asciiTheme="minorHAnsi" w:hAnsiTheme="minorHAnsi" w:cstheme="minorHAnsi"/>
                <w:b/>
                <w:color w:val="auto"/>
                <w:szCs w:val="22"/>
                <w:u w:val="single"/>
                <w:lang w:val="en-GB"/>
              </w:rPr>
              <w:t xml:space="preserve"> </w:t>
            </w:r>
          </w:p>
          <w:p w14:paraId="7AD17267" w14:textId="77777777" w:rsidR="001A3F8D" w:rsidRPr="003D4093" w:rsidRDefault="001A3F8D" w:rsidP="00E40E80">
            <w:pPr>
              <w:tabs>
                <w:tab w:val="clear" w:pos="567"/>
              </w:tabs>
              <w:spacing w:after="0" w:line="240" w:lineRule="auto"/>
              <w:rPr>
                <w:rFonts w:asciiTheme="minorHAnsi" w:hAnsiTheme="minorHAnsi" w:cstheme="minorHAnsi"/>
                <w:b/>
                <w:color w:val="auto"/>
                <w:szCs w:val="22"/>
                <w:lang w:val="en-GB"/>
              </w:rPr>
            </w:pPr>
            <w:r w:rsidRPr="003D4093">
              <w:rPr>
                <w:rFonts w:asciiTheme="minorHAnsi" w:hAnsiTheme="minorHAnsi" w:cstheme="minorHAnsi"/>
                <w:bCs/>
                <w:color w:val="auto"/>
                <w:szCs w:val="22"/>
                <w:lang w:val="en-GB"/>
              </w:rPr>
              <w:t>NA – not applicable</w:t>
            </w:r>
          </w:p>
          <w:p w14:paraId="501EE589" w14:textId="77777777" w:rsidR="001A3F8D" w:rsidRPr="003D4093" w:rsidRDefault="001A3F8D" w:rsidP="00E40E80">
            <w:pPr>
              <w:tabs>
                <w:tab w:val="clear" w:pos="567"/>
              </w:tabs>
              <w:spacing w:after="0" w:line="240" w:lineRule="auto"/>
              <w:rPr>
                <w:rFonts w:asciiTheme="minorHAnsi" w:hAnsiTheme="minorHAnsi" w:cstheme="minorHAnsi"/>
                <w:b/>
                <w:color w:val="auto"/>
                <w:szCs w:val="22"/>
                <w:u w:val="single"/>
                <w:lang w:val="en-GB"/>
              </w:rPr>
            </w:pPr>
            <w:r w:rsidRPr="003D4093">
              <w:rPr>
                <w:rFonts w:asciiTheme="minorHAnsi" w:hAnsiTheme="minorHAnsi" w:cstheme="minorHAnsi"/>
                <w:b/>
                <w:color w:val="auto"/>
                <w:szCs w:val="22"/>
                <w:u w:val="single"/>
                <w:lang w:val="en-GB"/>
              </w:rPr>
              <w:t>Types of assessment:</w:t>
            </w:r>
          </w:p>
          <w:p w14:paraId="4C588605"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1 – direct data driven, </w:t>
            </w:r>
          </w:p>
          <w:p w14:paraId="7B1A5211"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2 – indirect data driven, </w:t>
            </w:r>
          </w:p>
          <w:p w14:paraId="3BCB57BA"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3 – third party assessment close-geographic match, </w:t>
            </w:r>
          </w:p>
          <w:p w14:paraId="02F156A9"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4 - third party assessment partial-geographic match,  </w:t>
            </w:r>
          </w:p>
          <w:p w14:paraId="7F964DEF"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5 – expert judgement. </w:t>
            </w:r>
          </w:p>
          <w:p w14:paraId="4438C10A"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(Use more than one number when mixed methods were used)</w:t>
            </w:r>
          </w:p>
          <w:p w14:paraId="505266BC"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p>
        </w:tc>
      </w:tr>
    </w:tbl>
    <w:p w14:paraId="38A83C04" w14:textId="77777777" w:rsidR="001A3F8D" w:rsidRDefault="001A3F8D" w:rsidP="00E40E80">
      <w:pPr>
        <w:tabs>
          <w:tab w:val="clear" w:pos="567"/>
        </w:tabs>
        <w:spacing w:line="240" w:lineRule="auto"/>
        <w:rPr>
          <w:rFonts w:asciiTheme="minorHAnsi" w:hAnsiTheme="minorHAnsi" w:cstheme="minorHAnsi"/>
          <w:color w:val="auto"/>
          <w:szCs w:val="22"/>
        </w:rPr>
        <w:sectPr w:rsidR="001A3F8D" w:rsidSect="001A3F8D">
          <w:pgSz w:w="16838" w:h="11906" w:orient="landscape"/>
          <w:pgMar w:top="1138" w:right="1138" w:bottom="1138" w:left="1138" w:header="0" w:footer="835" w:gutter="0"/>
          <w:cols w:space="720"/>
          <w:formProt w:val="0"/>
          <w:docGrid w:linePitch="360" w:charSpace="-2049"/>
        </w:sectPr>
      </w:pPr>
    </w:p>
    <w:tbl>
      <w:tblPr>
        <w:tblStyle w:val="TableGrid11"/>
        <w:tblW w:w="9810" w:type="dxa"/>
        <w:tblInd w:w="-5" w:type="dxa"/>
        <w:tblLook w:val="04A0" w:firstRow="1" w:lastRow="0" w:firstColumn="1" w:lastColumn="0" w:noHBand="0" w:noVBand="1"/>
      </w:tblPr>
      <w:tblGrid>
        <w:gridCol w:w="1774"/>
        <w:gridCol w:w="26"/>
        <w:gridCol w:w="8386"/>
      </w:tblGrid>
      <w:tr w:rsidR="001A3F8D" w:rsidRPr="003D4093" w14:paraId="55010AFE" w14:textId="77777777" w:rsidTr="001E4D6B">
        <w:trPr>
          <w:trHeight w:val="409"/>
        </w:trPr>
        <w:tc>
          <w:tcPr>
            <w:tcW w:w="1774" w:type="dxa"/>
            <w:tcBorders>
              <w:bottom w:val="single" w:sz="4" w:space="0" w:color="auto"/>
            </w:tcBorders>
          </w:tcPr>
          <w:p w14:paraId="138F09D7"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Confidence</w:t>
            </w:r>
          </w:p>
        </w:tc>
        <w:tc>
          <w:tcPr>
            <w:tcW w:w="8036" w:type="dxa"/>
            <w:gridSpan w:val="2"/>
            <w:tcBorders>
              <w:bottom w:val="single" w:sz="4" w:space="0" w:color="auto"/>
            </w:tcBorders>
          </w:tcPr>
          <w:p w14:paraId="71794961"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Low due to low volume of data for analysis.</w:t>
            </w:r>
          </w:p>
        </w:tc>
      </w:tr>
      <w:tr w:rsidR="001A3F8D" w:rsidRPr="003D4093" w14:paraId="304F4CE1" w14:textId="77777777" w:rsidTr="001E4D6B">
        <w:tc>
          <w:tcPr>
            <w:tcW w:w="1774" w:type="dxa"/>
          </w:tcPr>
          <w:p w14:paraId="240F9CC0"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Background Information</w:t>
            </w:r>
          </w:p>
          <w:p w14:paraId="05FD2980"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- 100 words maximum  </w:t>
            </w:r>
          </w:p>
          <w:p w14:paraId="5C2DCC5F"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p>
        </w:tc>
        <w:tc>
          <w:tcPr>
            <w:tcW w:w="8036" w:type="dxa"/>
            <w:gridSpan w:val="2"/>
          </w:tcPr>
          <w:p w14:paraId="64062D2E" w14:textId="77777777" w:rsidR="001A3F8D" w:rsidRPr="003D4093" w:rsidRDefault="001A3F8D" w:rsidP="00E40E80">
            <w:pPr>
              <w:numPr>
                <w:ilvl w:val="0"/>
                <w:numId w:val="27"/>
              </w:numPr>
              <w:tabs>
                <w:tab w:val="clear" w:pos="567"/>
              </w:tabs>
              <w:spacing w:after="0" w:line="240" w:lineRule="auto"/>
              <w:contextualSpacing/>
              <w:rPr>
                <w:rFonts w:asciiTheme="minorHAnsi" w:hAnsiTheme="minorHAnsi" w:cstheme="minorHAnsi"/>
                <w:color w:val="auto"/>
                <w:szCs w:val="22"/>
                <w:lang w:val="en-GB"/>
              </w:rPr>
            </w:pPr>
            <w:r w:rsidRPr="003D4093">
              <w:rPr>
                <w:rFonts w:asciiTheme="minorHAnsi" w:hAnsiTheme="minorHAnsi" w:cstheme="minorHAnsi"/>
                <w:color w:val="auto"/>
                <w:szCs w:val="22"/>
                <w:lang w:val="en-GB"/>
              </w:rPr>
              <w:t>Year added to OSPAR List: 2004</w:t>
            </w:r>
          </w:p>
          <w:p w14:paraId="5C00214A" w14:textId="77777777" w:rsidR="001A3F8D" w:rsidRPr="003D4093" w:rsidRDefault="001A3F8D" w:rsidP="00E40E80">
            <w:pPr>
              <w:numPr>
                <w:ilvl w:val="0"/>
                <w:numId w:val="27"/>
              </w:numPr>
              <w:tabs>
                <w:tab w:val="clear" w:pos="567"/>
              </w:tabs>
              <w:spacing w:after="0" w:line="240" w:lineRule="auto"/>
              <w:contextualSpacing/>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The original evaluation of </w:t>
            </w:r>
            <w:r w:rsidRPr="003D4093">
              <w:rPr>
                <w:rFonts w:asciiTheme="minorHAnsi" w:hAnsiTheme="minorHAnsi" w:cstheme="minorHAnsi"/>
                <w:i/>
                <w:color w:val="auto"/>
                <w:szCs w:val="22"/>
                <w:lang w:val="en-GB"/>
              </w:rPr>
              <w:t>M. modiolus</w:t>
            </w:r>
            <w:r w:rsidRPr="003D4093">
              <w:rPr>
                <w:rFonts w:asciiTheme="minorHAnsi" w:hAnsiTheme="minorHAnsi" w:cstheme="minorHAnsi"/>
                <w:color w:val="auto"/>
                <w:szCs w:val="22"/>
                <w:lang w:val="en-GB"/>
              </w:rPr>
              <w:t xml:space="preserve"> against the Texel-Faial criteria referred to sensitivity, ecological significance and decline with information also provided on threat. At the time of the original evaluation, the literature only supported evidence of threat in some parts of the OSPAR area. It was concluded that the need for more information on this habitat is essential and under the concept of precaution, the inclusion of this habitat should be considered as sensible until more research on the status of this habitat is completed.</w:t>
            </w:r>
          </w:p>
          <w:p w14:paraId="0C09FD16" w14:textId="77777777" w:rsidR="001A3F8D" w:rsidRPr="003D4093" w:rsidRDefault="001A3F8D" w:rsidP="00E40E80">
            <w:pPr>
              <w:numPr>
                <w:ilvl w:val="0"/>
                <w:numId w:val="27"/>
              </w:numPr>
              <w:tabs>
                <w:tab w:val="clear" w:pos="567"/>
              </w:tabs>
              <w:spacing w:after="0" w:line="240" w:lineRule="auto"/>
              <w:contextualSpacing/>
              <w:rPr>
                <w:rFonts w:asciiTheme="minorHAnsi" w:hAnsiTheme="minorHAnsi" w:cstheme="minorHAnsi"/>
                <w:color w:val="auto"/>
                <w:szCs w:val="22"/>
                <w:lang w:val="en-GB"/>
              </w:rPr>
            </w:pPr>
            <w:r w:rsidRPr="003D4093">
              <w:rPr>
                <w:rFonts w:asciiTheme="minorHAnsi" w:hAnsiTheme="minorHAnsi" w:cstheme="minorHAnsi"/>
                <w:color w:val="auto"/>
                <w:szCs w:val="22"/>
                <w:lang w:val="en-GB"/>
              </w:rPr>
              <w:t>Sensitivity: The habitat was evaluated as sensitive when it was added to the list due to its low resilience to adverse effects from human activity resulting in physical disturbance, with recovery likely to be slow due to its life history characteristics (long-lived with sporadic and low recruitment).</w:t>
            </w:r>
          </w:p>
          <w:p w14:paraId="763EE95D" w14:textId="77777777" w:rsidR="001A3F8D" w:rsidRPr="003D4093" w:rsidRDefault="001A3F8D" w:rsidP="00E40E80">
            <w:pPr>
              <w:numPr>
                <w:ilvl w:val="0"/>
                <w:numId w:val="27"/>
              </w:numPr>
              <w:tabs>
                <w:tab w:val="clear" w:pos="567"/>
              </w:tabs>
              <w:spacing w:after="0" w:line="240" w:lineRule="auto"/>
              <w:contextualSpacing/>
              <w:rPr>
                <w:rFonts w:asciiTheme="minorHAnsi" w:hAnsiTheme="minorHAnsi" w:cstheme="minorHAnsi"/>
                <w:color w:val="auto"/>
                <w:szCs w:val="22"/>
                <w:lang w:val="en-GB"/>
              </w:rPr>
            </w:pPr>
            <w:r w:rsidRPr="003D4093">
              <w:rPr>
                <w:rFonts w:asciiTheme="minorHAnsi" w:hAnsiTheme="minorHAnsi" w:cstheme="minorHAnsi"/>
                <w:color w:val="auto"/>
                <w:szCs w:val="22"/>
                <w:lang w:val="en-GB"/>
              </w:rPr>
              <w:t>Ecological significance: The habitat supports a biodiverse community, may act as a nursery habitat for other species, and can have an important role in sediment stabilisation and nutrient transfer from the water column to the benthos.</w:t>
            </w:r>
          </w:p>
          <w:p w14:paraId="668B93B6" w14:textId="77777777" w:rsidR="001A3F8D" w:rsidRPr="003D4093" w:rsidRDefault="001A3F8D" w:rsidP="00E40E80">
            <w:pPr>
              <w:numPr>
                <w:ilvl w:val="0"/>
                <w:numId w:val="27"/>
              </w:numPr>
              <w:tabs>
                <w:tab w:val="clear" w:pos="567"/>
              </w:tabs>
              <w:spacing w:after="0" w:line="240" w:lineRule="auto"/>
              <w:contextualSpacing/>
              <w:rPr>
                <w:rFonts w:asciiTheme="minorHAnsi" w:hAnsiTheme="minorHAnsi" w:cstheme="minorHAnsi"/>
                <w:color w:val="auto"/>
                <w:szCs w:val="22"/>
                <w:lang w:val="en-GB"/>
              </w:rPr>
            </w:pPr>
            <w:r w:rsidRPr="003D4093">
              <w:rPr>
                <w:rFonts w:asciiTheme="minorHAnsi" w:hAnsiTheme="minorHAnsi" w:cstheme="minorHAnsi"/>
                <w:color w:val="auto"/>
                <w:szCs w:val="22"/>
                <w:lang w:val="en-GB"/>
              </w:rPr>
              <w:t>Decline: A decline in the extent of the habitat was considered “strong” across the whole OSPAR Maritime Area at the time of designation.</w:t>
            </w:r>
          </w:p>
          <w:p w14:paraId="13AEA1EF" w14:textId="77777777" w:rsidR="001A3F8D" w:rsidRPr="003D4093" w:rsidRDefault="001A3F8D" w:rsidP="00E40E80">
            <w:pPr>
              <w:numPr>
                <w:ilvl w:val="0"/>
                <w:numId w:val="27"/>
              </w:numPr>
              <w:tabs>
                <w:tab w:val="clear" w:pos="567"/>
              </w:tabs>
              <w:spacing w:after="0" w:line="240" w:lineRule="auto"/>
              <w:contextualSpacing/>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Anthropogenic pressures and biological factors: The habitat was considered threatened due to bottom fishing methods which cause physical disturbance, e.g. scallop dredging in Northern Ireland was reported as having widespread and long-lasting damage. </w:t>
            </w:r>
          </w:p>
          <w:p w14:paraId="2D87081F" w14:textId="77777777" w:rsidR="001A3F8D" w:rsidRPr="003D4093" w:rsidRDefault="001A3F8D" w:rsidP="00E40E80">
            <w:pPr>
              <w:numPr>
                <w:ilvl w:val="0"/>
                <w:numId w:val="27"/>
              </w:numPr>
              <w:tabs>
                <w:tab w:val="clear" w:pos="567"/>
              </w:tabs>
              <w:spacing w:after="0" w:line="240" w:lineRule="auto"/>
              <w:contextualSpacing/>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Last status assessment: 2009. OSPAR (2009) concluded that the original evaluation was accurate and that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should remain on the OSPAR List of Threatened and/or Declining (T&amp;D) Species and Habitats. Along with the threats identified in the original assessment, additional threats were identified including marine pollution through eutrophication and, at the southern limits, increased bottom water temperature due to climate change.</w:t>
            </w:r>
          </w:p>
        </w:tc>
      </w:tr>
      <w:tr w:rsidR="001A3F8D" w:rsidRPr="003D4093" w14:paraId="54F608DD" w14:textId="77777777" w:rsidTr="001E4D6B">
        <w:tc>
          <w:tcPr>
            <w:tcW w:w="1774" w:type="dxa"/>
          </w:tcPr>
          <w:p w14:paraId="6D450F61"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Geographical range and distribution</w:t>
            </w:r>
          </w:p>
          <w:p w14:paraId="0D6BEC8F"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- 100 words + map/infographic)</w:t>
            </w:r>
          </w:p>
        </w:tc>
        <w:tc>
          <w:tcPr>
            <w:tcW w:w="8036" w:type="dxa"/>
            <w:gridSpan w:val="2"/>
          </w:tcPr>
          <w:p w14:paraId="005EE838" w14:textId="77777777" w:rsidR="001A3F8D" w:rsidRPr="003D4093" w:rsidRDefault="001A3F8D" w:rsidP="00E40E80">
            <w:pPr>
              <w:tabs>
                <w:tab w:val="clear" w:pos="567"/>
              </w:tabs>
              <w:spacing w:line="240" w:lineRule="auto"/>
              <w:rPr>
                <w:rFonts w:asciiTheme="minorHAnsi" w:hAnsiTheme="minorHAnsi" w:cstheme="minorHAnsi"/>
                <w:color w:val="auto"/>
                <w:sz w:val="24"/>
                <w:lang w:val="en-GB"/>
              </w:rPr>
            </w:pPr>
            <w:r w:rsidRPr="003D4093">
              <w:rPr>
                <w:rFonts w:asciiTheme="minorHAnsi" w:hAnsiTheme="minorHAnsi" w:cstheme="minorHAnsi"/>
                <w:color w:val="auto"/>
                <w:szCs w:val="22"/>
                <w:lang w:val="en-GB"/>
              </w:rPr>
              <w:t xml:space="preserve">The geographical range of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extends from southern parts of the Barents Sea and the White Sea to the southern parts of the North Sea and the Irish Sea (Figure 1). Records of </w:t>
            </w:r>
            <w:bookmarkStart w:id="1" w:name="_Hlk178260619"/>
            <w:r w:rsidRPr="003D4093">
              <w:rPr>
                <w:rFonts w:asciiTheme="minorHAnsi" w:hAnsiTheme="minorHAnsi" w:cstheme="minorHAnsi"/>
                <w:i/>
                <w:iCs/>
                <w:color w:val="auto"/>
                <w:szCs w:val="22"/>
                <w:lang w:val="en-GB"/>
              </w:rPr>
              <w:t xml:space="preserve">M. modiolus </w:t>
            </w:r>
            <w:r w:rsidRPr="003D4093">
              <w:rPr>
                <w:rFonts w:asciiTheme="minorHAnsi" w:hAnsiTheme="minorHAnsi" w:cstheme="minorHAnsi"/>
                <w:color w:val="auto"/>
                <w:szCs w:val="22"/>
                <w:lang w:val="en-GB"/>
              </w:rPr>
              <w:t xml:space="preserve">beds </w:t>
            </w:r>
            <w:bookmarkEnd w:id="1"/>
            <w:r w:rsidRPr="003D4093">
              <w:rPr>
                <w:rFonts w:asciiTheme="minorHAnsi" w:hAnsiTheme="minorHAnsi" w:cstheme="minorHAnsi"/>
                <w:color w:val="auto"/>
                <w:szCs w:val="22"/>
                <w:lang w:val="en-GB"/>
              </w:rPr>
              <w:t xml:space="preserve">further south than the North Sea, individual </w:t>
            </w:r>
            <w:r w:rsidRPr="003D4093">
              <w:rPr>
                <w:rFonts w:asciiTheme="minorHAnsi" w:hAnsiTheme="minorHAnsi" w:cstheme="minorHAnsi"/>
                <w:i/>
                <w:iCs/>
                <w:color w:val="auto"/>
                <w:szCs w:val="22"/>
                <w:lang w:val="en-GB"/>
              </w:rPr>
              <w:t xml:space="preserve">M. modiolus </w:t>
            </w:r>
            <w:r w:rsidRPr="003D4093">
              <w:rPr>
                <w:rFonts w:asciiTheme="minorHAnsi" w:hAnsiTheme="minorHAnsi" w:cstheme="minorHAnsi"/>
                <w:color w:val="auto"/>
                <w:szCs w:val="22"/>
                <w:lang w:val="en-GB"/>
              </w:rPr>
              <w:t xml:space="preserve">have been recorded as far south as the Bay of Biscay (Poppe and Goto, 1993). Records of </w:t>
            </w:r>
            <w:r w:rsidRPr="003D4093">
              <w:rPr>
                <w:rFonts w:asciiTheme="minorHAnsi" w:hAnsiTheme="minorHAnsi" w:cstheme="minorHAnsi"/>
                <w:i/>
                <w:iCs/>
                <w:color w:val="auto"/>
                <w:szCs w:val="22"/>
                <w:lang w:val="en-GB"/>
              </w:rPr>
              <w:t xml:space="preserve">M. modiolus </w:t>
            </w:r>
            <w:r w:rsidRPr="003D4093">
              <w:rPr>
                <w:rFonts w:asciiTheme="minorHAnsi" w:hAnsiTheme="minorHAnsi" w:cstheme="minorHAnsi"/>
                <w:color w:val="auto"/>
                <w:szCs w:val="22"/>
                <w:lang w:val="en-GB"/>
              </w:rPr>
              <w:t xml:space="preserve">beds off Ireland (in the Irish Sea) are poorly recorded and it is very likely that the habitat is under recorded with high numbers of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individuals (often clumped) found in several grabs and whelk pots (Farinas-Franco, </w:t>
            </w:r>
            <w:r w:rsidRPr="003D4093">
              <w:rPr>
                <w:rFonts w:asciiTheme="minorHAnsi" w:hAnsiTheme="minorHAnsi" w:cstheme="minorHAnsi"/>
                <w:i/>
                <w:iCs/>
                <w:color w:val="auto"/>
                <w:szCs w:val="22"/>
                <w:lang w:val="en-GB"/>
              </w:rPr>
              <w:t>per comms</w:t>
            </w:r>
            <w:r w:rsidRPr="003D4093">
              <w:rPr>
                <w:rFonts w:asciiTheme="minorHAnsi" w:hAnsiTheme="minorHAnsi" w:cstheme="minorHAnsi"/>
                <w:color w:val="auto"/>
                <w:szCs w:val="22"/>
                <w:lang w:val="en-GB"/>
              </w:rPr>
              <w:t xml:space="preserve">). The depth range of </w:t>
            </w:r>
            <w:r w:rsidRPr="003D4093">
              <w:rPr>
                <w:rFonts w:asciiTheme="minorHAnsi" w:hAnsiTheme="minorHAnsi" w:cstheme="minorHAnsi"/>
                <w:i/>
                <w:iCs/>
                <w:color w:val="auto"/>
                <w:szCs w:val="22"/>
                <w:lang w:val="en-GB"/>
              </w:rPr>
              <w:t xml:space="preserve">M. modiolus </w:t>
            </w:r>
            <w:r w:rsidRPr="003D4093">
              <w:rPr>
                <w:rFonts w:asciiTheme="minorHAnsi" w:hAnsiTheme="minorHAnsi" w:cstheme="minorHAnsi"/>
                <w:color w:val="auto"/>
                <w:szCs w:val="22"/>
                <w:lang w:val="en-GB"/>
              </w:rPr>
              <w:t xml:space="preserve">beds can vary from 4 – 227 m; the deepest recorded beds are within the Sound of Canna (off the west coast of Scotland; Greathead </w:t>
            </w:r>
            <w:r w:rsidRPr="003D4093">
              <w:rPr>
                <w:rFonts w:asciiTheme="minorHAnsi" w:hAnsiTheme="minorHAnsi" w:cstheme="minorHAnsi"/>
                <w:i/>
                <w:iCs/>
                <w:color w:val="auto"/>
                <w:szCs w:val="22"/>
                <w:lang w:val="en-GB"/>
              </w:rPr>
              <w:t>et al.,</w:t>
            </w:r>
            <w:r w:rsidRPr="003D4093">
              <w:rPr>
                <w:rFonts w:asciiTheme="minorHAnsi" w:hAnsiTheme="minorHAnsi" w:cstheme="minorHAnsi"/>
                <w:color w:val="auto"/>
                <w:szCs w:val="22"/>
                <w:lang w:val="en-GB"/>
              </w:rPr>
              <w:t xml:space="preserve"> 2023). Distinguishing between records of individual specimens and beds can be difficult and open to interpretation. Furthermore, the criteria of what constitutes as a </w:t>
            </w:r>
            <w:r w:rsidRPr="003D4093">
              <w:rPr>
                <w:rFonts w:asciiTheme="minorHAnsi" w:hAnsiTheme="minorHAnsi" w:cstheme="minorHAnsi"/>
                <w:i/>
                <w:iCs/>
                <w:color w:val="auto"/>
                <w:szCs w:val="22"/>
                <w:lang w:val="en-GB"/>
              </w:rPr>
              <w:t xml:space="preserve">M. modiolus </w:t>
            </w:r>
            <w:r w:rsidRPr="003D4093">
              <w:rPr>
                <w:rFonts w:asciiTheme="minorHAnsi" w:hAnsiTheme="minorHAnsi" w:cstheme="minorHAnsi"/>
                <w:color w:val="auto"/>
                <w:szCs w:val="22"/>
                <w:lang w:val="en-GB"/>
              </w:rPr>
              <w:t>bed differs between OSPAR (&gt;30% cover) and The Marine Habitat Classification for Britain and Ireland (refers specifically to a bed of </w:t>
            </w:r>
            <w:r w:rsidRPr="003D4093">
              <w:rPr>
                <w:rFonts w:asciiTheme="minorHAnsi" w:hAnsiTheme="minorHAnsi" w:cstheme="minorHAnsi"/>
                <w:i/>
                <w:iCs/>
                <w:color w:val="auto"/>
                <w:szCs w:val="22"/>
                <w:lang w:val="en-GB"/>
              </w:rPr>
              <w:t xml:space="preserve">Modiolus </w:t>
            </w:r>
            <w:proofErr w:type="spellStart"/>
            <w:r w:rsidRPr="003D4093">
              <w:rPr>
                <w:rFonts w:asciiTheme="minorHAnsi" w:hAnsiTheme="minorHAnsi" w:cstheme="minorHAnsi"/>
                <w:i/>
                <w:iCs/>
                <w:color w:val="auto"/>
                <w:szCs w:val="22"/>
                <w:lang w:val="en-GB"/>
              </w:rPr>
              <w:t>modious</w:t>
            </w:r>
            <w:proofErr w:type="spellEnd"/>
            <w:r w:rsidRPr="003D4093">
              <w:rPr>
                <w:rFonts w:asciiTheme="minorHAnsi" w:hAnsiTheme="minorHAnsi" w:cstheme="minorHAnsi"/>
                <w:i/>
                <w:iCs/>
                <w:color w:val="auto"/>
                <w:szCs w:val="22"/>
                <w:lang w:val="en-GB"/>
              </w:rPr>
              <w:t xml:space="preserve"> </w:t>
            </w:r>
            <w:r w:rsidRPr="003D4093">
              <w:rPr>
                <w:rFonts w:asciiTheme="minorHAnsi" w:hAnsiTheme="minorHAnsi" w:cstheme="minorHAnsi"/>
                <w:color w:val="auto"/>
                <w:szCs w:val="22"/>
                <w:lang w:val="en-GB"/>
              </w:rPr>
              <w:t>with no criteria for coverage; JNCC 2022).</w:t>
            </w:r>
          </w:p>
          <w:p w14:paraId="53FF5DA5"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The OSPAR List of T&amp;D Species and Habitats currently states that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occur in all OSPAR Regions. However, whilst current evidence supports the occurrence of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in </w:t>
            </w:r>
            <w:r>
              <w:rPr>
                <w:rFonts w:asciiTheme="minorHAnsi" w:hAnsiTheme="minorHAnsi" w:cstheme="minorHAnsi"/>
                <w:color w:val="auto"/>
                <w:szCs w:val="22"/>
                <w:lang w:val="en-GB"/>
              </w:rPr>
              <w:t>Arctic Waters (</w:t>
            </w:r>
            <w:r w:rsidRPr="003D4093">
              <w:rPr>
                <w:rFonts w:asciiTheme="minorHAnsi" w:hAnsiTheme="minorHAnsi" w:cstheme="minorHAnsi"/>
                <w:color w:val="auto"/>
                <w:szCs w:val="22"/>
                <w:lang w:val="en-GB"/>
              </w:rPr>
              <w:t xml:space="preserve">Region I), </w:t>
            </w:r>
            <w:r>
              <w:rPr>
                <w:rFonts w:asciiTheme="minorHAnsi" w:hAnsiTheme="minorHAnsi" w:cstheme="minorHAnsi"/>
                <w:color w:val="auto"/>
                <w:szCs w:val="22"/>
                <w:lang w:val="en-GB"/>
              </w:rPr>
              <w:t>Greater North Sea (</w:t>
            </w:r>
            <w:r w:rsidRPr="003D4093">
              <w:rPr>
                <w:rFonts w:asciiTheme="minorHAnsi" w:hAnsiTheme="minorHAnsi" w:cstheme="minorHAnsi"/>
                <w:color w:val="auto"/>
                <w:szCs w:val="22"/>
                <w:lang w:val="en-GB"/>
              </w:rPr>
              <w:t xml:space="preserve">Region II), </w:t>
            </w:r>
            <w:r>
              <w:rPr>
                <w:rFonts w:asciiTheme="minorHAnsi" w:hAnsiTheme="minorHAnsi" w:cstheme="minorHAnsi"/>
                <w:color w:val="auto"/>
                <w:szCs w:val="22"/>
                <w:lang w:val="en-GB"/>
              </w:rPr>
              <w:t>Celtic Seas (</w:t>
            </w:r>
            <w:r w:rsidRPr="003D4093">
              <w:rPr>
                <w:rFonts w:asciiTheme="minorHAnsi" w:hAnsiTheme="minorHAnsi" w:cstheme="minorHAnsi"/>
                <w:color w:val="auto"/>
                <w:szCs w:val="22"/>
                <w:lang w:val="en-GB"/>
              </w:rPr>
              <w:t>Region II</w:t>
            </w:r>
            <w:r>
              <w:rPr>
                <w:rFonts w:asciiTheme="minorHAnsi" w:hAnsiTheme="minorHAnsi" w:cstheme="minorHAnsi"/>
                <w:color w:val="auto"/>
                <w:szCs w:val="22"/>
                <w:lang w:val="en-GB"/>
              </w:rPr>
              <w:t>I</w:t>
            </w:r>
            <w:r w:rsidRPr="003D4093">
              <w:rPr>
                <w:rFonts w:asciiTheme="minorHAnsi" w:hAnsiTheme="minorHAnsi" w:cstheme="minorHAnsi"/>
                <w:color w:val="auto"/>
                <w:szCs w:val="22"/>
                <w:lang w:val="en-GB"/>
              </w:rPr>
              <w:t xml:space="preserve">); records in </w:t>
            </w:r>
            <w:r w:rsidRPr="004D5C8A">
              <w:rPr>
                <w:rFonts w:asciiTheme="minorHAnsi" w:hAnsiTheme="minorHAnsi" w:cstheme="minorHAnsi"/>
                <w:color w:val="auto"/>
                <w:szCs w:val="22"/>
                <w:lang w:val="en-GB"/>
              </w:rPr>
              <w:t xml:space="preserve">Bay of Biscay and Iberian Coast </w:t>
            </w:r>
            <w:r>
              <w:rPr>
                <w:rFonts w:asciiTheme="minorHAnsi" w:hAnsiTheme="minorHAnsi" w:cstheme="minorHAnsi"/>
                <w:color w:val="auto"/>
                <w:szCs w:val="22"/>
                <w:lang w:val="en-GB"/>
              </w:rPr>
              <w:t>(</w:t>
            </w:r>
            <w:r w:rsidRPr="003D4093">
              <w:rPr>
                <w:rFonts w:asciiTheme="minorHAnsi" w:hAnsiTheme="minorHAnsi" w:cstheme="minorHAnsi"/>
                <w:color w:val="auto"/>
                <w:szCs w:val="22"/>
                <w:lang w:val="en-GB"/>
              </w:rPr>
              <w:t xml:space="preserve">OSPAR Region IV) still need confirmation. There is no evidence to suggest the feature occurs in </w:t>
            </w:r>
            <w:r>
              <w:rPr>
                <w:rFonts w:asciiTheme="minorHAnsi" w:hAnsiTheme="minorHAnsi" w:cstheme="minorHAnsi"/>
                <w:color w:val="auto"/>
                <w:szCs w:val="22"/>
                <w:lang w:val="en-GB"/>
              </w:rPr>
              <w:t>the Wider Atlantic (</w:t>
            </w:r>
            <w:r w:rsidRPr="003D4093">
              <w:rPr>
                <w:rFonts w:asciiTheme="minorHAnsi" w:hAnsiTheme="minorHAnsi" w:cstheme="minorHAnsi"/>
                <w:color w:val="auto"/>
                <w:szCs w:val="22"/>
                <w:lang w:val="en-GB"/>
              </w:rPr>
              <w:t>Region V).</w:t>
            </w:r>
          </w:p>
          <w:p w14:paraId="06B870B7"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The distribution of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is decreasing in Region II (based on observations in the Kattegat region of the North Sea), and stable in Region III (based on beds in Northern Ireland and Wales). These assessments are based on a small number of beds surveyed. In both regions, most beds have not been assessed in the last 6 years (i.e., within Scotland, parts of Northern Ireland, Ireland and Denmark). Additionally, some records of </w:t>
            </w:r>
            <w:r w:rsidRPr="003D4093">
              <w:rPr>
                <w:rFonts w:asciiTheme="minorHAnsi" w:hAnsiTheme="minorHAnsi" w:cstheme="minorHAnsi"/>
                <w:i/>
                <w:iCs/>
                <w:color w:val="auto"/>
                <w:szCs w:val="22"/>
                <w:lang w:val="en-GB"/>
              </w:rPr>
              <w:t xml:space="preserve">M. modiolus </w:t>
            </w:r>
            <w:r w:rsidRPr="003D4093">
              <w:rPr>
                <w:rFonts w:asciiTheme="minorHAnsi" w:hAnsiTheme="minorHAnsi" w:cstheme="minorHAnsi"/>
                <w:color w:val="auto"/>
                <w:szCs w:val="22"/>
                <w:lang w:val="en-GB"/>
              </w:rPr>
              <w:t>in</w:t>
            </w:r>
            <w:r w:rsidRPr="003D4093">
              <w:rPr>
                <w:rFonts w:asciiTheme="minorHAnsi" w:hAnsiTheme="minorHAnsi" w:cstheme="minorHAnsi"/>
                <w:i/>
                <w:iCs/>
                <w:color w:val="auto"/>
                <w:szCs w:val="22"/>
                <w:lang w:val="en-GB"/>
              </w:rPr>
              <w:t> </w:t>
            </w:r>
            <w:r w:rsidRPr="003D4093">
              <w:rPr>
                <w:rFonts w:asciiTheme="minorHAnsi" w:hAnsiTheme="minorHAnsi" w:cstheme="minorHAnsi"/>
                <w:color w:val="auto"/>
                <w:szCs w:val="22"/>
                <w:lang w:val="en-GB"/>
              </w:rPr>
              <w:t xml:space="preserve">the OSPAR T&amp;D database require review by Contracting Parties to ensure they meet the definition of a bed, rather than a few individual </w:t>
            </w:r>
            <w:r w:rsidRPr="003D4093">
              <w:rPr>
                <w:rFonts w:asciiTheme="minorHAnsi" w:hAnsiTheme="minorHAnsi" w:cstheme="minorHAnsi"/>
                <w:i/>
                <w:iCs/>
                <w:color w:val="auto"/>
                <w:szCs w:val="22"/>
                <w:lang w:val="en-GB"/>
              </w:rPr>
              <w:t xml:space="preserve">M. modiolus, </w:t>
            </w:r>
            <w:r w:rsidRPr="003D4093">
              <w:rPr>
                <w:rFonts w:asciiTheme="minorHAnsi" w:hAnsiTheme="minorHAnsi" w:cstheme="minorHAnsi"/>
                <w:color w:val="auto"/>
                <w:szCs w:val="22"/>
                <w:lang w:val="en-GB"/>
              </w:rPr>
              <w:t xml:space="preserve">following potential uncertainties raised for data points in Ireland and the UK (Wales and England specifically). There are reports of </w:t>
            </w:r>
            <w:r w:rsidRPr="003D4093">
              <w:rPr>
                <w:rFonts w:asciiTheme="minorHAnsi" w:hAnsiTheme="minorHAnsi" w:cstheme="minorHAnsi"/>
                <w:i/>
                <w:iCs/>
                <w:color w:val="auto"/>
                <w:szCs w:val="22"/>
                <w:lang w:val="en-GB"/>
              </w:rPr>
              <w:t>M. modiolu</w:t>
            </w:r>
            <w:r w:rsidRPr="003D4093">
              <w:rPr>
                <w:rFonts w:asciiTheme="minorHAnsi" w:hAnsiTheme="minorHAnsi" w:cstheme="minorHAnsi"/>
                <w:color w:val="auto"/>
                <w:szCs w:val="22"/>
                <w:lang w:val="en-GB"/>
              </w:rPr>
              <w:t xml:space="preserve">s at several sites in the Irish Sea (Farinas-Franco </w:t>
            </w:r>
            <w:r w:rsidRPr="003D4093">
              <w:rPr>
                <w:rFonts w:asciiTheme="minorHAnsi" w:hAnsiTheme="minorHAnsi" w:cstheme="minorHAnsi"/>
                <w:i/>
                <w:iCs/>
                <w:color w:val="auto"/>
                <w:szCs w:val="22"/>
                <w:lang w:val="en-GB"/>
              </w:rPr>
              <w:t>per comms)</w:t>
            </w:r>
            <w:r w:rsidRPr="003D4093">
              <w:rPr>
                <w:rFonts w:asciiTheme="minorHAnsi" w:hAnsiTheme="minorHAnsi" w:cstheme="minorHAnsi"/>
                <w:color w:val="auto"/>
                <w:szCs w:val="22"/>
                <w:lang w:val="en-GB"/>
              </w:rPr>
              <w:t>, however these are not included in in OSPAR Habitats 2022 dataset and are not mapped in Figure 1. Therefore, assessments in Regions II and III have low confidence.</w:t>
            </w:r>
          </w:p>
          <w:p w14:paraId="6CC8E250"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The status of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has not been assessed in Region I in the last 6 years, and no information was provided from Contracting Parties for Region IV. Therefore, no assessment was conducted on changes in distribution in these regions. </w:t>
            </w:r>
          </w:p>
          <w:p w14:paraId="719EFBFD"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p>
          <w:p w14:paraId="7B360C85"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Method: D</w:t>
            </w:r>
          </w:p>
          <w:p w14:paraId="638B5502"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noProof/>
                <w:color w:val="auto"/>
                <w:sz w:val="24"/>
              </w:rPr>
              <w:drawing>
                <wp:inline distT="0" distB="0" distL="0" distR="0" wp14:anchorId="5DCF2AE1" wp14:editId="6FACECE7">
                  <wp:extent cx="4807600" cy="4885898"/>
                  <wp:effectExtent l="0" t="0" r="0" b="0"/>
                  <wp:docPr id="1004475085" name="Picture 2" descr="A map of europe with blue and re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475085" name="Picture 2" descr="A map of europe with blue and red dot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15628" cy="4894056"/>
                          </a:xfrm>
                          <a:prstGeom prst="rect">
                            <a:avLst/>
                          </a:prstGeom>
                        </pic:spPr>
                      </pic:pic>
                    </a:graphicData>
                  </a:graphic>
                </wp:inline>
              </w:drawing>
            </w:r>
          </w:p>
          <w:p w14:paraId="73490FF4"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Figure 1: The current distribution of </w:t>
            </w:r>
            <w:r w:rsidRPr="003D4093">
              <w:rPr>
                <w:rFonts w:asciiTheme="minorHAnsi" w:hAnsiTheme="minorHAnsi" w:cstheme="minorHAnsi"/>
                <w:i/>
                <w:iCs/>
                <w:color w:val="auto"/>
                <w:szCs w:val="22"/>
                <w:lang w:val="en-GB"/>
              </w:rPr>
              <w:t xml:space="preserve">M. modiolus </w:t>
            </w:r>
            <w:r w:rsidRPr="003D4093">
              <w:rPr>
                <w:rFonts w:asciiTheme="minorHAnsi" w:hAnsiTheme="minorHAnsi" w:cstheme="minorHAnsi"/>
                <w:color w:val="auto"/>
                <w:szCs w:val="22"/>
                <w:lang w:val="en-GB"/>
              </w:rPr>
              <w:t xml:space="preserve">bed records. Note that records in </w:t>
            </w:r>
            <w:r>
              <w:rPr>
                <w:rFonts w:asciiTheme="minorHAnsi" w:hAnsiTheme="minorHAnsi" w:cstheme="minorHAnsi"/>
                <w:color w:val="auto"/>
                <w:szCs w:val="22"/>
                <w:lang w:val="en-GB"/>
              </w:rPr>
              <w:t>R</w:t>
            </w:r>
            <w:r w:rsidRPr="003D4093">
              <w:rPr>
                <w:rFonts w:asciiTheme="minorHAnsi" w:hAnsiTheme="minorHAnsi" w:cstheme="minorHAnsi"/>
                <w:color w:val="auto"/>
                <w:szCs w:val="22"/>
                <w:lang w:val="en-GB"/>
              </w:rPr>
              <w:t xml:space="preserve">egion IV have not been confirmed as </w:t>
            </w:r>
            <w:r w:rsidRPr="003D4093">
              <w:rPr>
                <w:rFonts w:asciiTheme="minorHAnsi" w:hAnsiTheme="minorHAnsi" w:cstheme="minorHAnsi"/>
                <w:i/>
                <w:iCs/>
                <w:color w:val="auto"/>
                <w:szCs w:val="22"/>
                <w:lang w:val="en-GB"/>
              </w:rPr>
              <w:t xml:space="preserve">M. modiolus </w:t>
            </w:r>
            <w:r w:rsidRPr="003D4093">
              <w:rPr>
                <w:rFonts w:asciiTheme="minorHAnsi" w:hAnsiTheme="minorHAnsi" w:cstheme="minorHAnsi"/>
                <w:color w:val="auto"/>
                <w:szCs w:val="22"/>
                <w:lang w:val="en-GB"/>
              </w:rPr>
              <w:t xml:space="preserve">beds and may be individuals. Some records of </w:t>
            </w:r>
            <w:r w:rsidRPr="003D4093">
              <w:rPr>
                <w:rFonts w:asciiTheme="minorHAnsi" w:hAnsiTheme="minorHAnsi" w:cstheme="minorHAnsi"/>
                <w:i/>
                <w:iCs/>
                <w:color w:val="auto"/>
                <w:szCs w:val="22"/>
                <w:lang w:val="en-GB"/>
              </w:rPr>
              <w:t xml:space="preserve">M. modiolus </w:t>
            </w:r>
            <w:r w:rsidRPr="003D4093">
              <w:rPr>
                <w:rFonts w:asciiTheme="minorHAnsi" w:hAnsiTheme="minorHAnsi" w:cstheme="minorHAnsi"/>
                <w:color w:val="auto"/>
                <w:szCs w:val="22"/>
                <w:lang w:val="en-GB"/>
              </w:rPr>
              <w:t>in</w:t>
            </w:r>
            <w:r w:rsidRPr="003D4093">
              <w:rPr>
                <w:rFonts w:asciiTheme="minorHAnsi" w:hAnsiTheme="minorHAnsi" w:cstheme="minorHAnsi"/>
                <w:i/>
                <w:iCs/>
                <w:color w:val="auto"/>
                <w:szCs w:val="22"/>
                <w:lang w:val="en-GB"/>
              </w:rPr>
              <w:t> </w:t>
            </w:r>
            <w:r w:rsidRPr="003D4093">
              <w:rPr>
                <w:rFonts w:asciiTheme="minorHAnsi" w:hAnsiTheme="minorHAnsi" w:cstheme="minorHAnsi"/>
                <w:color w:val="auto"/>
                <w:szCs w:val="22"/>
                <w:lang w:val="en-GB"/>
              </w:rPr>
              <w:t xml:space="preserve">the OSPAR T&amp;D database require review by Contracting Parties to ensure they meet the definition of a bed, rather than a few individual </w:t>
            </w:r>
            <w:r w:rsidRPr="003D4093">
              <w:rPr>
                <w:rFonts w:asciiTheme="minorHAnsi" w:hAnsiTheme="minorHAnsi" w:cstheme="minorHAnsi"/>
                <w:i/>
                <w:iCs/>
                <w:color w:val="auto"/>
                <w:szCs w:val="22"/>
                <w:lang w:val="en-GB"/>
              </w:rPr>
              <w:t xml:space="preserve">M. modiolus, </w:t>
            </w:r>
            <w:r w:rsidRPr="003D4093">
              <w:rPr>
                <w:rFonts w:asciiTheme="minorHAnsi" w:hAnsiTheme="minorHAnsi" w:cstheme="minorHAnsi"/>
                <w:color w:val="auto"/>
                <w:szCs w:val="22"/>
                <w:lang w:val="en-GB"/>
              </w:rPr>
              <w:t>following potential uncertainties raised for data points in Ireland and the UK (Wales and England specifically)</w:t>
            </w:r>
          </w:p>
        </w:tc>
      </w:tr>
      <w:tr w:rsidR="001A3F8D" w:rsidRPr="003D4093" w14:paraId="73CD6E0F" w14:textId="77777777" w:rsidTr="001E4D6B">
        <w:tc>
          <w:tcPr>
            <w:tcW w:w="1774" w:type="dxa"/>
          </w:tcPr>
          <w:p w14:paraId="7DBEDE9F"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Extent (habitats) - 100 words + figure)</w:t>
            </w:r>
          </w:p>
          <w:p w14:paraId="1E6F7FE3"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p>
        </w:tc>
        <w:tc>
          <w:tcPr>
            <w:tcW w:w="8036" w:type="dxa"/>
            <w:gridSpan w:val="2"/>
          </w:tcPr>
          <w:p w14:paraId="3689E056"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The total extent of </w:t>
            </w:r>
            <w:r w:rsidRPr="003D4093">
              <w:rPr>
                <w:rFonts w:asciiTheme="minorHAnsi" w:hAnsiTheme="minorHAnsi" w:cstheme="minorHAnsi"/>
                <w:i/>
                <w:color w:val="auto"/>
                <w:szCs w:val="22"/>
                <w:lang w:val="en-GB"/>
              </w:rPr>
              <w:t>M. modiolus</w:t>
            </w:r>
            <w:r w:rsidRPr="003D4093">
              <w:rPr>
                <w:rFonts w:asciiTheme="minorHAnsi" w:hAnsiTheme="minorHAnsi" w:cstheme="minorHAnsi"/>
                <w:color w:val="auto"/>
                <w:szCs w:val="22"/>
                <w:lang w:val="en-GB"/>
              </w:rPr>
              <w:t xml:space="preserve"> beds in the OSPAR maritime area has been estimated as 60.58 km</w:t>
            </w:r>
            <w:r w:rsidRPr="003D4093">
              <w:rPr>
                <w:rFonts w:asciiTheme="minorHAnsi" w:hAnsiTheme="minorHAnsi" w:cstheme="minorHAnsi"/>
                <w:color w:val="auto"/>
                <w:szCs w:val="22"/>
                <w:vertAlign w:val="superscript"/>
                <w:lang w:val="en-GB"/>
              </w:rPr>
              <w:t>2</w:t>
            </w:r>
            <w:r w:rsidRPr="003D4093">
              <w:rPr>
                <w:rFonts w:asciiTheme="minorHAnsi" w:hAnsiTheme="minorHAnsi" w:cstheme="minorHAnsi"/>
                <w:color w:val="auto"/>
                <w:szCs w:val="22"/>
                <w:lang w:val="en-GB"/>
              </w:rPr>
              <w:t xml:space="preserve">. This is likely an underestimate as polygon data is incomplete and the extent of many </w:t>
            </w:r>
            <w:r w:rsidRPr="003D4093">
              <w:rPr>
                <w:rFonts w:asciiTheme="minorHAnsi" w:hAnsiTheme="minorHAnsi" w:cstheme="minorHAnsi"/>
                <w:i/>
                <w:iCs/>
                <w:color w:val="auto"/>
                <w:szCs w:val="22"/>
                <w:lang w:val="en-GB"/>
              </w:rPr>
              <w:t xml:space="preserve">M. modiolus </w:t>
            </w:r>
            <w:r w:rsidRPr="003D4093">
              <w:rPr>
                <w:rFonts w:asciiTheme="minorHAnsi" w:hAnsiTheme="minorHAnsi" w:cstheme="minorHAnsi"/>
                <w:color w:val="auto"/>
                <w:szCs w:val="22"/>
                <w:lang w:val="en-GB"/>
              </w:rPr>
              <w:t xml:space="preserve">beds remain unmapped. Some of the largest beds are found in the northeast of Scotland (such as the Moray Firth, </w:t>
            </w:r>
            <w:proofErr w:type="spellStart"/>
            <w:r w:rsidRPr="003D4093">
              <w:rPr>
                <w:rFonts w:asciiTheme="minorHAnsi" w:hAnsiTheme="minorHAnsi" w:cstheme="minorHAnsi"/>
                <w:color w:val="auto"/>
                <w:szCs w:val="22"/>
                <w:lang w:val="en-GB"/>
              </w:rPr>
              <w:t>Cromaty</w:t>
            </w:r>
            <w:proofErr w:type="spellEnd"/>
            <w:r w:rsidRPr="003D4093">
              <w:rPr>
                <w:rFonts w:asciiTheme="minorHAnsi" w:hAnsiTheme="minorHAnsi" w:cstheme="minorHAnsi"/>
                <w:color w:val="auto"/>
                <w:szCs w:val="22"/>
                <w:lang w:val="en-GB"/>
              </w:rPr>
              <w:t xml:space="preserve"> Firth and Noss Head), Strangford Lough (east of Northern Ireland), Wales (off the </w:t>
            </w:r>
            <w:proofErr w:type="spellStart"/>
            <w:r w:rsidRPr="003D4093">
              <w:rPr>
                <w:rFonts w:asciiTheme="minorHAnsi" w:hAnsiTheme="minorHAnsi" w:cstheme="minorHAnsi"/>
                <w:color w:val="auto"/>
                <w:szCs w:val="22"/>
                <w:lang w:val="en-GB"/>
              </w:rPr>
              <w:t>Llŷn</w:t>
            </w:r>
            <w:proofErr w:type="spellEnd"/>
            <w:r w:rsidRPr="003D4093">
              <w:rPr>
                <w:rFonts w:asciiTheme="minorHAnsi" w:hAnsiTheme="minorHAnsi" w:cstheme="minorHAnsi"/>
                <w:color w:val="auto"/>
                <w:szCs w:val="22"/>
                <w:lang w:val="en-GB"/>
              </w:rPr>
              <w:t xml:space="preserve"> peninsula and North Anglesey) and the Kattegat.</w:t>
            </w:r>
          </w:p>
          <w:p w14:paraId="627017E9"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i/>
                <w:color w:val="auto"/>
                <w:szCs w:val="22"/>
                <w:lang w:val="en-GB"/>
              </w:rPr>
              <w:t>M. modiolus</w:t>
            </w:r>
            <w:r w:rsidRPr="003D4093">
              <w:rPr>
                <w:rFonts w:asciiTheme="minorHAnsi" w:hAnsiTheme="minorHAnsi" w:cstheme="minorHAnsi"/>
                <w:color w:val="auto"/>
                <w:szCs w:val="22"/>
                <w:lang w:val="en-GB"/>
              </w:rPr>
              <w:t xml:space="preserve"> beds are often fragmented in nature and, therefore, estimating bed extent can be difficult and open to interpretation. Sometimes beds can exist as obvious reefs with distinct borders; however, more often beds exist as a mosaic of clumps of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individuals with bare patches of seabed in between.</w:t>
            </w:r>
          </w:p>
          <w:p w14:paraId="0152293A"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The extent of </w:t>
            </w:r>
            <w:r w:rsidRPr="003D4093">
              <w:rPr>
                <w:rFonts w:asciiTheme="minorHAnsi" w:hAnsiTheme="minorHAnsi" w:cstheme="minorHAnsi"/>
                <w:i/>
                <w:color w:val="auto"/>
                <w:szCs w:val="22"/>
                <w:lang w:val="en-GB"/>
              </w:rPr>
              <w:t>M. modiolus</w:t>
            </w:r>
            <w:r w:rsidRPr="003D4093">
              <w:rPr>
                <w:rFonts w:asciiTheme="minorHAnsi" w:hAnsiTheme="minorHAnsi" w:cstheme="minorHAnsi"/>
                <w:color w:val="auto"/>
                <w:szCs w:val="22"/>
                <w:lang w:val="en-GB"/>
              </w:rPr>
              <w:t xml:space="preserve"> beds is decreasing in both Region II (based on observations in the Kattegat), and </w:t>
            </w:r>
            <w:r w:rsidRPr="003D4093">
              <w:rPr>
                <w:rFonts w:asciiTheme="minorHAnsi" w:hAnsiTheme="minorHAnsi" w:cstheme="minorHAnsi"/>
                <w:color w:val="auto"/>
                <w:sz w:val="24"/>
                <w:lang w:val="en-GB"/>
              </w:rPr>
              <w:t>R</w:t>
            </w:r>
            <w:r w:rsidRPr="003D4093">
              <w:rPr>
                <w:rFonts w:asciiTheme="minorHAnsi" w:hAnsiTheme="minorHAnsi" w:cstheme="minorHAnsi"/>
                <w:color w:val="auto"/>
                <w:szCs w:val="22"/>
                <w:lang w:val="en-GB"/>
              </w:rPr>
              <w:t>egion III (based on beds in Northern Ireland and Wales). These assessments are based on a small number of beds surveyed. In both regions mo</w:t>
            </w:r>
            <w:r w:rsidRPr="003D4093">
              <w:rPr>
                <w:rFonts w:asciiTheme="minorHAnsi" w:hAnsiTheme="minorHAnsi" w:cstheme="minorHAnsi"/>
                <w:color w:val="auto"/>
                <w:sz w:val="24"/>
                <w:lang w:val="en-GB"/>
              </w:rPr>
              <w:t>st</w:t>
            </w:r>
            <w:r w:rsidRPr="003D4093">
              <w:rPr>
                <w:rFonts w:asciiTheme="minorHAnsi" w:hAnsiTheme="minorHAnsi" w:cstheme="minorHAnsi"/>
                <w:color w:val="auto"/>
                <w:szCs w:val="22"/>
                <w:lang w:val="en-GB"/>
              </w:rPr>
              <w:t xml:space="preserve"> beds have not been assessed in the last 6 years (i.e., within Scotland, parts of Northern Ireland, Ireland and Denmark). Therefore, assessments in Regions II and III have low confidence. </w:t>
            </w:r>
          </w:p>
          <w:p w14:paraId="480458E8"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p>
          <w:p w14:paraId="69D39705"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The status of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has not been assessed in Region I in the last 6 years and no information was provided from Contracting Parties for Region IV. Therefore, no assessment was conducted on changes in extent in these regions. </w:t>
            </w:r>
          </w:p>
          <w:p w14:paraId="75557ED8"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p>
          <w:p w14:paraId="6BF0111D"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Method: D</w:t>
            </w:r>
          </w:p>
        </w:tc>
      </w:tr>
      <w:tr w:rsidR="001A3F8D" w:rsidRPr="003D4093" w14:paraId="4F778612" w14:textId="77777777" w:rsidTr="001E4D6B">
        <w:tc>
          <w:tcPr>
            <w:tcW w:w="1774" w:type="dxa"/>
          </w:tcPr>
          <w:p w14:paraId="2B041E47"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Condition </w:t>
            </w:r>
          </w:p>
          <w:p w14:paraId="580A41C3"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- 100 words + figure</w:t>
            </w:r>
          </w:p>
        </w:tc>
        <w:tc>
          <w:tcPr>
            <w:tcW w:w="8036" w:type="dxa"/>
            <w:gridSpan w:val="2"/>
          </w:tcPr>
          <w:p w14:paraId="1C89C9FB"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The condition of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can be judged in several different ways including, spatial integrity (e.g. do fishing gear tracks cut across the bed), topographic integrity (e.g. the presence of continued ridges and mounds), size distribution (e.g. measures of recruitment) and abundance, composition and diversity of the associated biota.</w:t>
            </w:r>
          </w:p>
          <w:p w14:paraId="6D166A7D"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There is a poor understanding of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 condition in the OSPAR maritime area.</w:t>
            </w:r>
            <w:r w:rsidRPr="003D4093">
              <w:rPr>
                <w:rFonts w:asciiTheme="minorHAnsi" w:hAnsiTheme="minorHAnsi" w:cstheme="minorHAnsi"/>
                <w:i/>
                <w:iCs/>
                <w:color w:val="auto"/>
                <w:szCs w:val="22"/>
                <w:lang w:val="en-GB"/>
              </w:rPr>
              <w:t xml:space="preserve"> </w:t>
            </w:r>
            <w:r w:rsidRPr="003D4093">
              <w:rPr>
                <w:rFonts w:asciiTheme="minorHAnsi" w:hAnsiTheme="minorHAnsi" w:cstheme="minorHAnsi"/>
                <w:color w:val="auto"/>
                <w:szCs w:val="22"/>
                <w:lang w:val="en-GB"/>
              </w:rPr>
              <w:t xml:space="preserve">Only a few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have been surveyed over sufficient time spans to assess changes in condition. In previous assessments, examples of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in poor condition were noted where fishing activity (primarily scallop dredging) had damaged beds. </w:t>
            </w:r>
          </w:p>
          <w:p w14:paraId="1000221E"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p>
          <w:p w14:paraId="7029912B"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In Region II,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are assessed to be in poor condition in the Kattegat area. This, in part, could be due to high fishing activity in the Kattegat, damaging key larvae sources. No recruitment has been observed in this area and, therefore, condition is thought to be decreasing.</w:t>
            </w:r>
          </w:p>
          <w:p w14:paraId="05B30846"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p>
          <w:p w14:paraId="40511D67"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In Region III, </w:t>
            </w:r>
            <w:r w:rsidRPr="003D4093">
              <w:rPr>
                <w:rFonts w:asciiTheme="minorHAnsi" w:hAnsiTheme="minorHAnsi" w:cstheme="minorHAnsi"/>
                <w:i/>
                <w:iCs/>
                <w:color w:val="auto"/>
                <w:szCs w:val="22"/>
                <w:lang w:val="en-GB"/>
              </w:rPr>
              <w:t xml:space="preserve">M. modiolus </w:t>
            </w:r>
            <w:r w:rsidRPr="003D4093">
              <w:rPr>
                <w:rFonts w:asciiTheme="minorHAnsi" w:hAnsiTheme="minorHAnsi" w:cstheme="minorHAnsi"/>
                <w:color w:val="auto"/>
                <w:szCs w:val="22"/>
                <w:lang w:val="en-GB"/>
              </w:rPr>
              <w:t>beds have also been assessed to be in poor condition (based on beds in Wales and Northern Ireland). However, no clear trend in condition was observed in Region III: the condition of beds in Wales was reported to be decreasing, whilst the bed in Strangford Lough, Northern Ireland, was reported to be increasing in condition.</w:t>
            </w:r>
          </w:p>
          <w:p w14:paraId="02E1C633"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p>
          <w:p w14:paraId="2A7D3479"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For Region II and III assessments are based on a small number of beds surveyed. In both regions, most beds were not assessed in the last 6 years (i.e., within Scotland, parts of Northern Ireland, Ireland and Denmark). Beds within the Scottish MPA network were assessed as having good condition in 2014, which could indicate the condition in some parts of Region II and III is good. However, as beds have not been assessed in the last 6 years, this information could not be included in the assessment. Beds in Ireland have not been assessed, although a range of size classes and evident recruitment for some sites suggests that the beds are in good condition (Farinas-Franco </w:t>
            </w:r>
            <w:r w:rsidRPr="003D4093">
              <w:rPr>
                <w:rFonts w:asciiTheme="minorHAnsi" w:hAnsiTheme="minorHAnsi" w:cstheme="minorHAnsi"/>
                <w:i/>
                <w:iCs/>
                <w:color w:val="auto"/>
                <w:szCs w:val="22"/>
                <w:lang w:val="en-GB"/>
              </w:rPr>
              <w:t>per comms</w:t>
            </w:r>
            <w:r w:rsidRPr="003D4093">
              <w:rPr>
                <w:rFonts w:asciiTheme="minorHAnsi" w:hAnsiTheme="minorHAnsi" w:cstheme="minorHAnsi"/>
                <w:color w:val="auto"/>
                <w:szCs w:val="22"/>
                <w:lang w:val="en-GB"/>
              </w:rPr>
              <w:t>). The confidence in the assessments for Regions II and III is poor.</w:t>
            </w:r>
          </w:p>
          <w:p w14:paraId="2052C44D"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p>
          <w:p w14:paraId="22418D40" w14:textId="77777777" w:rsidR="001A3F8D" w:rsidRPr="003D4093" w:rsidRDefault="001A3F8D" w:rsidP="00E40E80">
            <w:pPr>
              <w:tabs>
                <w:tab w:val="clear" w:pos="567"/>
              </w:tabs>
              <w:spacing w:after="0"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The status of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has not been assessed in Region I has not been assessed in the last 6 years and no information was provided from Contracting Parties for Region IV. Therefore, no assessment was conducted on changes in condition in these regions. </w:t>
            </w:r>
          </w:p>
          <w:p w14:paraId="47D48A78"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p>
          <w:p w14:paraId="3FD0FC9A"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Method: D</w:t>
            </w:r>
          </w:p>
        </w:tc>
      </w:tr>
      <w:tr w:rsidR="001A3F8D" w:rsidRPr="003D4093" w14:paraId="2930F488" w14:textId="77777777" w:rsidTr="001E4D6B">
        <w:trPr>
          <w:trHeight w:val="416"/>
        </w:trPr>
        <w:tc>
          <w:tcPr>
            <w:tcW w:w="1774" w:type="dxa"/>
          </w:tcPr>
          <w:p w14:paraId="375F507C"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Threats and impacts</w:t>
            </w:r>
          </w:p>
          <w:p w14:paraId="5E9F66C2"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- 100 words</w:t>
            </w:r>
          </w:p>
        </w:tc>
        <w:tc>
          <w:tcPr>
            <w:tcW w:w="8036" w:type="dxa"/>
            <w:gridSpan w:val="2"/>
          </w:tcPr>
          <w:p w14:paraId="243605C8"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In the background document in 2009 (OSPAR, 2009), the key impacts to </w:t>
            </w:r>
            <w:r w:rsidRPr="003D4093">
              <w:rPr>
                <w:rFonts w:asciiTheme="minorHAnsi" w:hAnsiTheme="minorHAnsi" w:cstheme="minorHAnsi"/>
                <w:i/>
                <w:iCs/>
                <w:color w:val="auto"/>
                <w:szCs w:val="22"/>
                <w:lang w:val="en-GB"/>
              </w:rPr>
              <w:t>M. modiolus beds</w:t>
            </w:r>
            <w:r w:rsidRPr="003D4093">
              <w:rPr>
                <w:rFonts w:asciiTheme="minorHAnsi" w:hAnsiTheme="minorHAnsi" w:cstheme="minorHAnsi"/>
                <w:color w:val="auto"/>
                <w:szCs w:val="22"/>
                <w:lang w:val="en-GB"/>
              </w:rPr>
              <w:t xml:space="preserve"> were identified as ‘Penetration and/or disturbance of the substrate below the surface of the seabed, including abrasion’ and ‘Physical change (to another seabed type)’. The assessment of threats and impacts conducted in this status assessment agreed with those outlined in the background document. However, the following additional impacts were identified:</w:t>
            </w:r>
          </w:p>
          <w:p w14:paraId="47889350" w14:textId="77777777" w:rsidR="001A3F8D" w:rsidRPr="003D4093" w:rsidRDefault="001A3F8D" w:rsidP="00E40E80">
            <w:pPr>
              <w:numPr>
                <w:ilvl w:val="0"/>
                <w:numId w:val="39"/>
              </w:numPr>
              <w:tabs>
                <w:tab w:val="clear" w:pos="567"/>
              </w:tabs>
              <w:spacing w:after="0" w:line="240" w:lineRule="auto"/>
              <w:contextualSpacing/>
              <w:rPr>
                <w:rFonts w:asciiTheme="minorHAnsi" w:hAnsiTheme="minorHAnsi" w:cstheme="minorHAnsi"/>
                <w:color w:val="auto"/>
                <w:szCs w:val="22"/>
                <w:lang w:val="en-GB"/>
              </w:rPr>
            </w:pPr>
            <w:r w:rsidRPr="003D4093">
              <w:rPr>
                <w:rFonts w:asciiTheme="minorHAnsi" w:hAnsiTheme="minorHAnsi" w:cstheme="minorHAnsi"/>
                <w:color w:val="auto"/>
                <w:szCs w:val="22"/>
                <w:lang w:val="en-GB"/>
              </w:rPr>
              <w:t>Introduction or spread of non-indigenous species</w:t>
            </w:r>
          </w:p>
          <w:p w14:paraId="5D882CBE" w14:textId="77777777" w:rsidR="001A3F8D" w:rsidRPr="003D4093" w:rsidRDefault="001A3F8D" w:rsidP="00E40E80">
            <w:pPr>
              <w:numPr>
                <w:ilvl w:val="0"/>
                <w:numId w:val="39"/>
              </w:numPr>
              <w:tabs>
                <w:tab w:val="clear" w:pos="567"/>
              </w:tabs>
              <w:spacing w:after="0" w:line="240" w:lineRule="auto"/>
              <w:contextualSpacing/>
              <w:rPr>
                <w:rFonts w:asciiTheme="minorHAnsi" w:hAnsiTheme="minorHAnsi" w:cstheme="minorHAnsi"/>
                <w:color w:val="auto"/>
                <w:szCs w:val="22"/>
                <w:lang w:val="en-GB"/>
              </w:rPr>
            </w:pPr>
            <w:r w:rsidRPr="003D4093">
              <w:rPr>
                <w:rFonts w:asciiTheme="minorHAnsi" w:hAnsiTheme="minorHAnsi" w:cstheme="minorHAnsi"/>
                <w:color w:val="auto"/>
                <w:szCs w:val="22"/>
                <w:lang w:val="en-GB"/>
              </w:rPr>
              <w:t>Nutrient enrichment</w:t>
            </w:r>
          </w:p>
          <w:p w14:paraId="4C295634" w14:textId="77777777" w:rsidR="001A3F8D" w:rsidRPr="003D4093" w:rsidRDefault="001A3F8D" w:rsidP="00E40E80">
            <w:pPr>
              <w:numPr>
                <w:ilvl w:val="0"/>
                <w:numId w:val="39"/>
              </w:numPr>
              <w:tabs>
                <w:tab w:val="clear" w:pos="567"/>
              </w:tabs>
              <w:spacing w:after="0" w:line="240" w:lineRule="auto"/>
              <w:contextualSpacing/>
              <w:rPr>
                <w:rFonts w:asciiTheme="minorHAnsi" w:hAnsiTheme="minorHAnsi" w:cstheme="minorHAnsi"/>
                <w:color w:val="auto"/>
                <w:szCs w:val="22"/>
                <w:lang w:val="en-GB"/>
              </w:rPr>
            </w:pPr>
            <w:r w:rsidRPr="003D4093">
              <w:rPr>
                <w:rFonts w:asciiTheme="minorHAnsi" w:hAnsiTheme="minorHAnsi" w:cstheme="minorHAnsi"/>
                <w:color w:val="auto"/>
                <w:szCs w:val="22"/>
                <w:lang w:val="en-GB"/>
              </w:rPr>
              <w:t>Organic enrichment</w:t>
            </w:r>
          </w:p>
          <w:p w14:paraId="68DCF948" w14:textId="77777777" w:rsidR="001A3F8D" w:rsidRPr="003D4093" w:rsidRDefault="001A3F8D" w:rsidP="00E40E80">
            <w:pPr>
              <w:numPr>
                <w:ilvl w:val="0"/>
                <w:numId w:val="39"/>
              </w:numPr>
              <w:tabs>
                <w:tab w:val="clear" w:pos="567"/>
              </w:tabs>
              <w:spacing w:after="0" w:line="240" w:lineRule="auto"/>
              <w:contextualSpacing/>
              <w:rPr>
                <w:rFonts w:asciiTheme="minorHAnsi" w:hAnsiTheme="minorHAnsi" w:cstheme="minorHAnsi"/>
                <w:color w:val="auto"/>
                <w:szCs w:val="22"/>
                <w:lang w:val="en-GB"/>
              </w:rPr>
            </w:pPr>
            <w:r w:rsidRPr="003D4093">
              <w:rPr>
                <w:rFonts w:asciiTheme="minorHAnsi" w:hAnsiTheme="minorHAnsi" w:cstheme="minorHAnsi"/>
                <w:color w:val="auto"/>
                <w:szCs w:val="22"/>
                <w:lang w:val="en-GB"/>
              </w:rPr>
              <w:t>Physical change (to another seabed types)</w:t>
            </w:r>
          </w:p>
          <w:p w14:paraId="00542AAF" w14:textId="77777777" w:rsidR="001A3F8D" w:rsidRPr="003D4093" w:rsidRDefault="001A3F8D" w:rsidP="00E40E80">
            <w:pPr>
              <w:numPr>
                <w:ilvl w:val="0"/>
                <w:numId w:val="39"/>
              </w:numPr>
              <w:tabs>
                <w:tab w:val="clear" w:pos="567"/>
              </w:tabs>
              <w:spacing w:after="0" w:line="240" w:lineRule="auto"/>
              <w:contextualSpacing/>
              <w:rPr>
                <w:rFonts w:asciiTheme="minorHAnsi" w:hAnsiTheme="minorHAnsi" w:cstheme="minorHAnsi"/>
                <w:color w:val="auto"/>
                <w:szCs w:val="22"/>
                <w:lang w:val="en-GB"/>
              </w:rPr>
            </w:pPr>
            <w:r w:rsidRPr="003D4093">
              <w:rPr>
                <w:rFonts w:asciiTheme="minorHAnsi" w:hAnsiTheme="minorHAnsi" w:cstheme="minorHAnsi"/>
                <w:color w:val="auto"/>
                <w:szCs w:val="22"/>
                <w:lang w:val="en-GB"/>
              </w:rPr>
              <w:t>Siltation rate changes, including smothering</w:t>
            </w:r>
          </w:p>
          <w:p w14:paraId="37F621CA" w14:textId="77777777" w:rsidR="001A3F8D" w:rsidRPr="003D4093" w:rsidRDefault="001A3F8D" w:rsidP="00E40E80">
            <w:pPr>
              <w:numPr>
                <w:ilvl w:val="0"/>
                <w:numId w:val="39"/>
              </w:numPr>
              <w:tabs>
                <w:tab w:val="clear" w:pos="567"/>
              </w:tabs>
              <w:spacing w:after="0" w:line="240" w:lineRule="auto"/>
              <w:contextualSpacing/>
              <w:rPr>
                <w:rFonts w:asciiTheme="minorHAnsi" w:hAnsiTheme="minorHAnsi" w:cstheme="minorHAnsi"/>
                <w:color w:val="auto"/>
                <w:szCs w:val="22"/>
                <w:lang w:val="en-GB"/>
              </w:rPr>
            </w:pPr>
            <w:r w:rsidRPr="003D4093">
              <w:rPr>
                <w:rFonts w:asciiTheme="minorHAnsi" w:hAnsiTheme="minorHAnsi" w:cstheme="minorHAnsi"/>
                <w:color w:val="auto"/>
                <w:szCs w:val="22"/>
                <w:lang w:val="en-GB"/>
              </w:rPr>
              <w:t>Penetration and/or disturbance of the substrate below the surface of the seabed, including abrasion</w:t>
            </w:r>
          </w:p>
          <w:p w14:paraId="787B0E49"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The biggest causes of the above threats are fishing (particularly from mobile bottom-contact fisheries, although pot fishing has been noted by Contracting Parties) and infrastructure development (e.g. coastal development or offshore renewables). Mariculture, runoff, dredge and spoil disposal, and coastal docks, ports and marinas, and anchoring and moorings also contribute.</w:t>
            </w:r>
          </w:p>
          <w:p w14:paraId="23DFEED2"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Mobile bottom-contact fisheries are the biggest cause of ‘Penetration and/or disturbance of the substrate below the surface of the seabed, including abrasion’. The OSPAR Feeder Report for Fisheries (OSPAR, 2021a) states that demersal fishing effort (mainly beam and otter trawling) has declined since 2003. Mobile bottom-contact fisheries have also been increasingly managed at many</w:t>
            </w:r>
            <w:r w:rsidRPr="003D4093">
              <w:rPr>
                <w:rFonts w:asciiTheme="minorHAnsi" w:hAnsiTheme="minorHAnsi" w:cstheme="minorHAnsi"/>
                <w:i/>
                <w:iCs/>
                <w:color w:val="auto"/>
                <w:szCs w:val="22"/>
                <w:lang w:val="en-GB"/>
              </w:rPr>
              <w:t xml:space="preserve"> M. modiolus</w:t>
            </w:r>
            <w:r w:rsidRPr="003D4093">
              <w:rPr>
                <w:rFonts w:asciiTheme="minorHAnsi" w:hAnsiTheme="minorHAnsi" w:cstheme="minorHAnsi"/>
                <w:color w:val="auto"/>
                <w:szCs w:val="22"/>
                <w:lang w:val="en-GB"/>
              </w:rPr>
              <w:t xml:space="preserve"> beds, which will reduce this pressure in some localised areas. This suggests that this key pressure may be reducing.</w:t>
            </w:r>
          </w:p>
          <w:p w14:paraId="60D9C222" w14:textId="77777777" w:rsidR="001A3F8D" w:rsidRPr="003D4093" w:rsidRDefault="001A3F8D" w:rsidP="00E40E80">
            <w:pPr>
              <w:tabs>
                <w:tab w:val="clear" w:pos="567"/>
              </w:tabs>
              <w:spacing w:line="240" w:lineRule="auto"/>
              <w:rPr>
                <w:rFonts w:asciiTheme="minorHAnsi" w:eastAsia="Arial" w:hAnsiTheme="minorHAnsi" w:cstheme="minorHAnsi"/>
                <w:color w:val="auto"/>
                <w:szCs w:val="22"/>
                <w:lang w:val="en-GB"/>
              </w:rPr>
            </w:pPr>
            <w:r w:rsidRPr="003D4093">
              <w:rPr>
                <w:rFonts w:asciiTheme="minorHAnsi" w:hAnsiTheme="minorHAnsi" w:cstheme="minorHAnsi"/>
                <w:color w:val="auto"/>
                <w:szCs w:val="22"/>
                <w:lang w:val="en-GB"/>
              </w:rPr>
              <w:t>Conversely, impacts from infrastructure development have been increasing in the North-Atlantic, in part due to the expansion in Offshore Renewable Energy Generation (OSAR, 2021b). Infrastructure development is the biggest cause of ‘Physical change (to another seabed type)’.</w:t>
            </w:r>
          </w:p>
          <w:p w14:paraId="1CF97602"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i/>
                <w:iCs/>
                <w:color w:val="auto"/>
                <w:szCs w:val="22"/>
                <w:lang w:val="en-GB"/>
              </w:rPr>
              <w:t xml:space="preserve">M. modiolus </w:t>
            </w:r>
            <w:r w:rsidRPr="003D4093">
              <w:rPr>
                <w:rFonts w:asciiTheme="minorHAnsi" w:hAnsiTheme="minorHAnsi" w:cstheme="minorHAnsi"/>
                <w:color w:val="auto"/>
                <w:szCs w:val="22"/>
                <w:lang w:val="en-GB"/>
              </w:rPr>
              <w:t xml:space="preserve">beds are highly sensitive to climate change.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are a boreal species, making them highly sensitive to temperature rises and marine heatwaves. As </w:t>
            </w:r>
            <w:proofErr w:type="spellStart"/>
            <w:r w:rsidRPr="003D4093">
              <w:rPr>
                <w:rFonts w:asciiTheme="minorHAnsi" w:hAnsiTheme="minorHAnsi" w:cstheme="minorHAnsi"/>
                <w:color w:val="auto"/>
                <w:szCs w:val="22"/>
                <w:lang w:val="en-GB"/>
              </w:rPr>
              <w:t>calcifiers</w:t>
            </w:r>
            <w:proofErr w:type="spellEnd"/>
            <w:r w:rsidRPr="003D4093">
              <w:rPr>
                <w:rFonts w:asciiTheme="minorHAnsi" w:hAnsiTheme="minorHAnsi" w:cstheme="minorHAnsi"/>
                <w:color w:val="auto"/>
                <w:szCs w:val="22"/>
                <w:lang w:val="en-GB"/>
              </w:rPr>
              <w:t xml:space="preserve">, the species is also sensitive to ocean acidification (OA; Leung </w:t>
            </w:r>
            <w:r w:rsidRPr="003D4093">
              <w:rPr>
                <w:rFonts w:asciiTheme="minorHAnsi" w:hAnsiTheme="minorHAnsi" w:cstheme="minorHAnsi"/>
                <w:i/>
                <w:iCs/>
                <w:color w:val="auto"/>
                <w:szCs w:val="22"/>
                <w:lang w:val="en-GB"/>
              </w:rPr>
              <w:t>et al.,</w:t>
            </w:r>
            <w:r w:rsidRPr="003D4093">
              <w:rPr>
                <w:rFonts w:asciiTheme="minorHAnsi" w:hAnsiTheme="minorHAnsi" w:cstheme="minorHAnsi"/>
                <w:color w:val="auto"/>
                <w:szCs w:val="22"/>
                <w:lang w:val="en-GB"/>
              </w:rPr>
              <w:t xml:space="preserve"> 2022).  As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are the founding species of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the negative impacts of climate change on the species threaten the future existence of </w:t>
            </w:r>
            <w:r w:rsidRPr="003D4093">
              <w:rPr>
                <w:rFonts w:asciiTheme="minorHAnsi" w:hAnsiTheme="minorHAnsi" w:cstheme="minorHAnsi"/>
                <w:i/>
                <w:iCs/>
                <w:color w:val="auto"/>
                <w:szCs w:val="22"/>
                <w:lang w:val="en-GB"/>
              </w:rPr>
              <w:t xml:space="preserve">M. modiolus </w:t>
            </w:r>
            <w:r w:rsidRPr="003D4093">
              <w:rPr>
                <w:rFonts w:asciiTheme="minorHAnsi" w:hAnsiTheme="minorHAnsi" w:cstheme="minorHAnsi"/>
                <w:color w:val="auto"/>
                <w:szCs w:val="22"/>
                <w:lang w:val="en-GB"/>
              </w:rPr>
              <w:t>beds. At present, it is not possible to confidently discriminate climate change declines against a background of fishing impacts. However, climate change is projected to have an increasing impact on this habitat.</w:t>
            </w:r>
          </w:p>
        </w:tc>
      </w:tr>
      <w:tr w:rsidR="001A3F8D" w:rsidRPr="003D4093" w14:paraId="06BB919F" w14:textId="77777777" w:rsidTr="001E4D6B">
        <w:tc>
          <w:tcPr>
            <w:tcW w:w="1774" w:type="dxa"/>
          </w:tcPr>
          <w:p w14:paraId="5621DC06"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Measures that address key pressures from human activities or conserve the species/habitat</w:t>
            </w:r>
          </w:p>
          <w:p w14:paraId="6C02AB1E"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- 100 words</w:t>
            </w:r>
          </w:p>
        </w:tc>
        <w:tc>
          <w:tcPr>
            <w:tcW w:w="8036" w:type="dxa"/>
            <w:gridSpan w:val="2"/>
          </w:tcPr>
          <w:p w14:paraId="3D6B8F0A"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Table 1 summarises progress towards actions 3.1 from </w:t>
            </w:r>
            <w:hyperlink r:id="rId13" w:history="1">
              <w:r w:rsidRPr="00E21250">
                <w:rPr>
                  <w:rStyle w:val="Hyperlink"/>
                  <w:rFonts w:asciiTheme="minorHAnsi" w:hAnsiTheme="minorHAnsi" w:cstheme="minorHAnsi"/>
                  <w:szCs w:val="22"/>
                  <w:lang w:val="en-GB"/>
                </w:rPr>
                <w:t>OSPAR Recommendation 2013/03</w:t>
              </w:r>
            </w:hyperlink>
            <w:r w:rsidRPr="003D4093">
              <w:rPr>
                <w:rFonts w:asciiTheme="minorHAnsi" w:hAnsiTheme="minorHAnsi" w:cstheme="minorHAnsi"/>
                <w:color w:val="auto"/>
                <w:szCs w:val="22"/>
                <w:lang w:val="en-GB"/>
              </w:rPr>
              <w:t xml:space="preserve"> on furthering the protection and recovery of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in the OSPAR maritime area.  </w:t>
            </w:r>
          </w:p>
          <w:p w14:paraId="625B5742"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Other recommendations from OSPAR Recommendation 2013/03 on furthering the protection and recovery of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in the OSPAR maritime area relate to monitoring, reporting and assessment. Since the 2009 background report, 707 point and 26 polygons records have been submitted to OSPAR. Benthic monitoring programmes have been implemented in several countries including Norway (MAREANO benthic mapping programme), the UK, Denmark (BIOREEF programme) and Sweden (in the waters outside of Helsingborg in Oresund). Whilst these programmes do not explicitly focus on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monitoring in areas that contain suitable habitat will mean that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will likely be recorded. Some work is underway in Ireland to better understand the population structure of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in the area, with plans for a larger mapping presence, extent and condition (funding dependent).</w:t>
            </w:r>
          </w:p>
          <w:p w14:paraId="652F7D01"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Reporting and assessment form part of this </w:t>
            </w:r>
            <w:r w:rsidRPr="003D4093">
              <w:rPr>
                <w:rFonts w:asciiTheme="minorHAnsi" w:hAnsiTheme="minorHAnsi" w:cstheme="minorHAnsi"/>
                <w:i/>
                <w:iCs/>
                <w:color w:val="auto"/>
                <w:szCs w:val="22"/>
                <w:lang w:val="en-GB"/>
              </w:rPr>
              <w:t xml:space="preserve">M. modiolus </w:t>
            </w:r>
            <w:r w:rsidRPr="003D4093">
              <w:rPr>
                <w:rFonts w:asciiTheme="minorHAnsi" w:hAnsiTheme="minorHAnsi" w:cstheme="minorHAnsi"/>
                <w:color w:val="auto"/>
                <w:szCs w:val="22"/>
                <w:lang w:val="en-GB"/>
              </w:rPr>
              <w:t xml:space="preserve">beds OSPAR T&amp;D status assessment. The assessment aims to report on the distribution, extent, condition of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and threats and pressures to beds and is carried out periodically. Five Contracting Parties responded to this data call (Norway, Sweden, UK, Netherlands, Ireland, Denmark). Data was missing from seven countries (Belgium, Finland, Iceland, Portugal, Germany, Spain and France). </w:t>
            </w:r>
            <w:r w:rsidRPr="003D4093">
              <w:rPr>
                <w:rFonts w:asciiTheme="minorHAnsi" w:hAnsiTheme="minorHAnsi" w:cstheme="minorHAnsi"/>
                <w:i/>
                <w:iCs/>
                <w:color w:val="auto"/>
                <w:szCs w:val="22"/>
                <w:lang w:val="en-GB"/>
              </w:rPr>
              <w:t xml:space="preserve">M. modiolus </w:t>
            </w:r>
            <w:r w:rsidRPr="003D4093">
              <w:rPr>
                <w:rFonts w:asciiTheme="minorHAnsi" w:hAnsiTheme="minorHAnsi" w:cstheme="minorHAnsi"/>
                <w:color w:val="auto"/>
                <w:szCs w:val="22"/>
                <w:lang w:val="en-GB"/>
              </w:rPr>
              <w:t>are a cold-water species and are unlikely to exist in countries in the south of the OSPAR area.</w:t>
            </w:r>
          </w:p>
          <w:p w14:paraId="69DB7D22"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Table 1: Summarised OSPAR implementation reporting in 2019 on the Recommendation 2013/03 for </w:t>
            </w:r>
            <w:r w:rsidRPr="003D4093">
              <w:rPr>
                <w:rFonts w:asciiTheme="minorHAnsi" w:hAnsiTheme="minorHAnsi" w:cstheme="minorHAnsi"/>
                <w:i/>
                <w:iCs/>
                <w:color w:val="auto"/>
                <w:szCs w:val="22"/>
                <w:lang w:val="en-GB"/>
              </w:rPr>
              <w:t xml:space="preserve">M. modiolus </w:t>
            </w:r>
            <w:r w:rsidRPr="003D4093">
              <w:rPr>
                <w:rFonts w:asciiTheme="minorHAnsi" w:hAnsiTheme="minorHAnsi" w:cstheme="minorHAnsi"/>
                <w:color w:val="auto"/>
                <w:szCs w:val="22"/>
                <w:lang w:val="en-GB"/>
              </w:rPr>
              <w:t xml:space="preserve">beds. Country codes </w:t>
            </w:r>
            <w:proofErr w:type="gramStart"/>
            <w:r w:rsidRPr="003D4093">
              <w:rPr>
                <w:rFonts w:asciiTheme="minorHAnsi" w:hAnsiTheme="minorHAnsi" w:cstheme="minorHAnsi"/>
                <w:color w:val="auto"/>
                <w:szCs w:val="22"/>
                <w:lang w:val="en-GB"/>
              </w:rPr>
              <w:t>are:</w:t>
            </w:r>
            <w:proofErr w:type="gramEnd"/>
            <w:r w:rsidRPr="003D4093">
              <w:rPr>
                <w:rFonts w:asciiTheme="minorHAnsi" w:hAnsiTheme="minorHAnsi" w:cstheme="minorHAnsi"/>
                <w:color w:val="auto"/>
                <w:szCs w:val="22"/>
                <w:lang w:val="en-GB"/>
              </w:rPr>
              <w:t xml:space="preserve"> Den (Denmark - mainland), Fra (France), Ger (Germany), Ice (Iceland), Irl (Ireland), Net (Netherlands), Nor (Norway), Spa (Spain), Swe – H (Sweden – Helsingborg), Swe – VG (Sweden - Västra </w:t>
            </w:r>
            <w:proofErr w:type="spellStart"/>
            <w:r w:rsidRPr="003D4093">
              <w:rPr>
                <w:rFonts w:asciiTheme="minorHAnsi" w:hAnsiTheme="minorHAnsi" w:cstheme="minorHAnsi"/>
                <w:color w:val="auto"/>
                <w:szCs w:val="22"/>
                <w:lang w:val="en-GB"/>
              </w:rPr>
              <w:t>Götaland</w:t>
            </w:r>
            <w:proofErr w:type="spellEnd"/>
            <w:r w:rsidRPr="003D4093">
              <w:rPr>
                <w:rFonts w:asciiTheme="minorHAnsi" w:hAnsiTheme="minorHAnsi" w:cstheme="minorHAnsi"/>
                <w:color w:val="auto"/>
                <w:szCs w:val="22"/>
                <w:lang w:val="en-GB"/>
              </w:rPr>
              <w:t xml:space="preserve">), UK – S (Scotland), UK – E (England), UK – W (Wales), UK – NI (Northern Ireland). </w:t>
            </w:r>
            <w:r w:rsidRPr="003D4093">
              <w:rPr>
                <w:rFonts w:asciiTheme="minorHAnsi" w:hAnsiTheme="minorHAnsi" w:cstheme="minorHAnsi"/>
                <w:color w:val="auto"/>
                <w:szCs w:val="22"/>
                <w:lang w:val="en-GB"/>
              </w:rPr>
              <w:sym w:font="Wingdings" w:char="F0FC"/>
            </w:r>
            <w:r w:rsidRPr="003D4093">
              <w:rPr>
                <w:rFonts w:asciiTheme="minorHAnsi" w:hAnsiTheme="minorHAnsi" w:cstheme="minorHAnsi"/>
                <w:color w:val="auto"/>
                <w:szCs w:val="22"/>
                <w:lang w:val="en-GB"/>
              </w:rPr>
              <w:t xml:space="preserve"> = the recommendation is partly or fully implemented;</w:t>
            </w:r>
            <w:r>
              <w:rPr>
                <w:rFonts w:asciiTheme="minorHAnsi" w:hAnsiTheme="minorHAnsi" w:cstheme="minorHAnsi"/>
                <w:color w:val="auto"/>
                <w:szCs w:val="22"/>
                <w:lang w:val="en-GB"/>
              </w:rPr>
              <w:t xml:space="preserve"> </w:t>
            </w:r>
            <w:r w:rsidRPr="002B04F2">
              <w:rPr>
                <w:rFonts w:ascii="Segoe UI Symbol" w:hAnsi="Segoe UI Symbol" w:cs="Segoe UI Symbol"/>
                <w:color w:val="auto"/>
                <w:szCs w:val="22"/>
                <w:lang w:val="en-GB"/>
              </w:rPr>
              <w:t>✗</w:t>
            </w:r>
            <w:r>
              <w:rPr>
                <w:rFonts w:ascii="Segoe UI Symbol" w:hAnsi="Segoe UI Symbol" w:cs="Segoe UI Symbol"/>
                <w:color w:val="auto"/>
                <w:szCs w:val="22"/>
                <w:lang w:val="en-GB"/>
              </w:rPr>
              <w:t xml:space="preserve"> </w:t>
            </w:r>
            <w:r w:rsidRPr="003D4093">
              <w:rPr>
                <w:rFonts w:asciiTheme="minorHAnsi" w:hAnsiTheme="minorHAnsi" w:cstheme="minorHAnsi"/>
                <w:color w:val="000000"/>
                <w:szCs w:val="22"/>
                <w:lang w:val="en-GB"/>
              </w:rPr>
              <w:t xml:space="preserve">= the recommendation has not been implemented; </w:t>
            </w:r>
            <w:r w:rsidRPr="003D4093">
              <w:rPr>
                <w:rFonts w:asciiTheme="minorHAnsi" w:hAnsiTheme="minorHAnsi" w:cstheme="minorHAnsi"/>
                <w:color w:val="auto"/>
                <w:szCs w:val="22"/>
                <w:lang w:val="en-GB"/>
              </w:rPr>
              <w:t xml:space="preserve">NR = the recommendation is not relevant, either as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are not found in the country or data is specific to the county and not available from the national authority. Blank cells are where countries have not responded to the data call. *There is uncertainty if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exist as records may not constitute as a bed.</w:t>
            </w:r>
          </w:p>
          <w:p w14:paraId="245C5F2A"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noProof/>
                <w:color w:val="auto"/>
                <w:sz w:val="24"/>
              </w:rPr>
              <w:drawing>
                <wp:inline distT="0" distB="0" distL="0" distR="0" wp14:anchorId="580951BA" wp14:editId="7891377D">
                  <wp:extent cx="5204878" cy="1129665"/>
                  <wp:effectExtent l="0" t="0" r="0" b="0"/>
                  <wp:docPr id="1491622477" name="Picture 1" descr="A computer screen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622477" name="Picture 1" descr="A computer screen with a black background&#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220152" cy="1132980"/>
                          </a:xfrm>
                          <a:prstGeom prst="rect">
                            <a:avLst/>
                          </a:prstGeom>
                        </pic:spPr>
                      </pic:pic>
                    </a:graphicData>
                  </a:graphic>
                </wp:inline>
              </w:drawing>
            </w:r>
            <w:hyperlink r:id="rId15" w:history="1"/>
          </w:p>
        </w:tc>
      </w:tr>
      <w:tr w:rsidR="001A3F8D" w:rsidRPr="003D4093" w14:paraId="51697438" w14:textId="77777777" w:rsidTr="001E4D6B">
        <w:trPr>
          <w:trHeight w:val="1125"/>
        </w:trPr>
        <w:tc>
          <w:tcPr>
            <w:tcW w:w="1774" w:type="dxa"/>
          </w:tcPr>
          <w:p w14:paraId="64CE3F8D"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Conclusion (including management considerations) </w:t>
            </w:r>
          </w:p>
          <w:p w14:paraId="5768E64D"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- 250 words</w:t>
            </w:r>
          </w:p>
        </w:tc>
        <w:tc>
          <w:tcPr>
            <w:tcW w:w="8036" w:type="dxa"/>
            <w:gridSpan w:val="2"/>
          </w:tcPr>
          <w:p w14:paraId="6E580F42" w14:textId="77777777" w:rsidR="001A3F8D" w:rsidRPr="003D4093" w:rsidRDefault="001A3F8D" w:rsidP="00E40E80">
            <w:pPr>
              <w:tabs>
                <w:tab w:val="clear" w:pos="567"/>
              </w:tabs>
              <w:spacing w:after="150" w:line="240" w:lineRule="auto"/>
              <w:jc w:val="left"/>
              <w:rPr>
                <w:rFonts w:asciiTheme="minorHAnsi" w:hAnsiTheme="minorHAnsi" w:cstheme="minorHAnsi"/>
                <w:color w:val="auto"/>
                <w:szCs w:val="22"/>
                <w:lang w:val="en-GB" w:eastAsia="en-GB"/>
              </w:rPr>
            </w:pPr>
            <w:r w:rsidRPr="003D4093">
              <w:rPr>
                <w:rFonts w:asciiTheme="minorHAnsi" w:hAnsiTheme="minorHAnsi" w:cstheme="minorHAnsi"/>
                <w:color w:val="auto"/>
                <w:szCs w:val="22"/>
                <w:lang w:val="en-GB" w:eastAsia="en-GB"/>
              </w:rPr>
              <w:t>The status of </w:t>
            </w:r>
            <w:r w:rsidRPr="003D4093">
              <w:rPr>
                <w:rFonts w:asciiTheme="minorHAnsi" w:hAnsiTheme="minorHAnsi" w:cstheme="minorHAnsi"/>
                <w:i/>
                <w:iCs/>
                <w:color w:val="auto"/>
                <w:szCs w:val="22"/>
                <w:lang w:val="en-GB" w:eastAsia="en-GB"/>
              </w:rPr>
              <w:t>M. modiolus</w:t>
            </w:r>
            <w:r w:rsidRPr="003D4093">
              <w:rPr>
                <w:rFonts w:asciiTheme="minorHAnsi" w:hAnsiTheme="minorHAnsi" w:cstheme="minorHAnsi"/>
                <w:color w:val="auto"/>
                <w:szCs w:val="22"/>
                <w:lang w:val="en-GB" w:eastAsia="en-GB"/>
              </w:rPr>
              <w:t> beds with regard to distribution, extent and condition is generally poor throughout the OSPAR Maritime Area. In Sweden and in some areas around the UK (Region II), there is evidence of clear decreases in distribution and extent. In Region III, distribution appears stable, but extent has declined. Condition is poor in both regions, however, the trend in condition is mixed, with condition improving in certain beds</w:t>
            </w:r>
            <w:r w:rsidRPr="003D4093">
              <w:rPr>
                <w:rFonts w:asciiTheme="minorHAnsi" w:hAnsiTheme="minorHAnsi" w:cstheme="minorHAnsi"/>
                <w:color w:val="auto"/>
                <w:szCs w:val="22"/>
                <w:lang w:val="en-GB"/>
              </w:rPr>
              <w:t xml:space="preserve"> around Northern Ireland and decreasing in Wales and the Kattegat. In other </w:t>
            </w:r>
            <w:r>
              <w:rPr>
                <w:rFonts w:asciiTheme="minorHAnsi" w:hAnsiTheme="minorHAnsi" w:cstheme="minorHAnsi"/>
                <w:color w:val="auto"/>
                <w:szCs w:val="22"/>
                <w:lang w:val="en-GB"/>
              </w:rPr>
              <w:t>R</w:t>
            </w:r>
            <w:r w:rsidRPr="003D4093">
              <w:rPr>
                <w:rFonts w:asciiTheme="minorHAnsi" w:hAnsiTheme="minorHAnsi" w:cstheme="minorHAnsi"/>
                <w:color w:val="auto"/>
                <w:szCs w:val="22"/>
                <w:lang w:val="en-GB"/>
              </w:rPr>
              <w:t xml:space="preserve">egions (I, IV, and V), </w:t>
            </w:r>
            <w:r w:rsidRPr="003D4093">
              <w:rPr>
                <w:rFonts w:asciiTheme="minorHAnsi" w:hAnsiTheme="minorHAnsi" w:cstheme="minorHAnsi"/>
                <w:color w:val="auto"/>
                <w:szCs w:val="22"/>
                <w:lang w:val="en-GB" w:eastAsia="en-GB"/>
              </w:rPr>
              <w:t>the information on trends is uncertain with no assessments available.</w:t>
            </w:r>
          </w:p>
          <w:p w14:paraId="434E3769" w14:textId="77777777" w:rsidR="001A3F8D" w:rsidRPr="003D4093" w:rsidRDefault="001A3F8D" w:rsidP="00E40E80">
            <w:pPr>
              <w:tabs>
                <w:tab w:val="clear" w:pos="567"/>
              </w:tabs>
              <w:spacing w:after="150" w:line="240" w:lineRule="auto"/>
              <w:jc w:val="left"/>
              <w:rPr>
                <w:rFonts w:asciiTheme="minorHAnsi" w:hAnsiTheme="minorHAnsi" w:cstheme="minorHAnsi"/>
                <w:color w:val="auto"/>
                <w:szCs w:val="22"/>
                <w:lang w:val="en-GB"/>
              </w:rPr>
            </w:pPr>
            <w:r w:rsidRPr="003D4093">
              <w:rPr>
                <w:rFonts w:asciiTheme="minorHAnsi" w:hAnsiTheme="minorHAnsi" w:cstheme="minorHAnsi"/>
                <w:color w:val="auto"/>
                <w:szCs w:val="22"/>
                <w:lang w:val="en-GB" w:eastAsia="en-GB"/>
              </w:rPr>
              <w:t xml:space="preserve">Key pressures to </w:t>
            </w:r>
            <w:r w:rsidRPr="003D4093">
              <w:rPr>
                <w:rFonts w:asciiTheme="minorHAnsi" w:hAnsiTheme="minorHAnsi" w:cstheme="minorHAnsi"/>
                <w:i/>
                <w:iCs/>
                <w:color w:val="auto"/>
                <w:szCs w:val="22"/>
                <w:lang w:val="en-GB" w:eastAsia="en-GB"/>
              </w:rPr>
              <w:t>M. modiolus</w:t>
            </w:r>
            <w:r w:rsidRPr="003D4093">
              <w:rPr>
                <w:rFonts w:asciiTheme="minorHAnsi" w:hAnsiTheme="minorHAnsi" w:cstheme="minorHAnsi"/>
                <w:color w:val="auto"/>
                <w:szCs w:val="22"/>
                <w:lang w:val="en-GB" w:eastAsia="en-GB"/>
              </w:rPr>
              <w:t xml:space="preserve"> beds were ‘Penetration and/or disturbance of the substrate below the surface of the seabed, including abrasion</w:t>
            </w:r>
            <w:r w:rsidRPr="003D4093">
              <w:rPr>
                <w:rFonts w:asciiTheme="minorHAnsi" w:hAnsiTheme="minorHAnsi" w:cstheme="minorHAnsi"/>
                <w:color w:val="auto"/>
                <w:szCs w:val="22"/>
                <w:lang w:val="en-GB"/>
              </w:rPr>
              <w:t xml:space="preserve">’ and ‘Physical change (to another seabed type)’. Fishing and infrastructure developments were the main activities to contribute to these pressures. Additional anthropogenic impacts were also noted during this assessment along with climate change. As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are boreal </w:t>
            </w:r>
            <w:proofErr w:type="spellStart"/>
            <w:r w:rsidRPr="003D4093">
              <w:rPr>
                <w:rFonts w:asciiTheme="minorHAnsi" w:hAnsiTheme="minorHAnsi" w:cstheme="minorHAnsi"/>
                <w:color w:val="auto"/>
                <w:szCs w:val="22"/>
                <w:lang w:val="en-GB"/>
              </w:rPr>
              <w:t>calcifiers</w:t>
            </w:r>
            <w:proofErr w:type="spellEnd"/>
            <w:r w:rsidRPr="003D4093">
              <w:rPr>
                <w:rFonts w:asciiTheme="minorHAnsi" w:hAnsiTheme="minorHAnsi" w:cstheme="minorHAnsi"/>
                <w:color w:val="auto"/>
                <w:szCs w:val="22"/>
                <w:lang w:val="en-GB"/>
              </w:rPr>
              <w:t xml:space="preserve">, increasing temperatures, marine heatwaves and ocean acidification are projected to have negative consequences on </w:t>
            </w:r>
            <w:r w:rsidRPr="003D4093">
              <w:rPr>
                <w:rFonts w:asciiTheme="minorHAnsi" w:hAnsiTheme="minorHAnsi" w:cstheme="minorHAnsi"/>
                <w:i/>
                <w:iCs/>
                <w:color w:val="auto"/>
                <w:szCs w:val="22"/>
                <w:lang w:val="en-GB"/>
              </w:rPr>
              <w:t>M. modiolus</w:t>
            </w:r>
            <w:r w:rsidRPr="003D4093">
              <w:rPr>
                <w:rFonts w:asciiTheme="minorHAnsi" w:hAnsiTheme="minorHAnsi" w:cstheme="minorHAnsi"/>
                <w:b/>
                <w:bCs/>
                <w:color w:val="auto"/>
                <w:szCs w:val="22"/>
                <w:lang w:val="en-GB"/>
              </w:rPr>
              <w:t xml:space="preserve"> </w:t>
            </w:r>
            <w:r w:rsidRPr="003D4093">
              <w:rPr>
                <w:rFonts w:asciiTheme="minorHAnsi" w:hAnsiTheme="minorHAnsi" w:cstheme="minorHAnsi"/>
                <w:color w:val="auto"/>
                <w:szCs w:val="22"/>
                <w:lang w:val="en-GB"/>
              </w:rPr>
              <w:t>beds in the North-East Atlantic. The impact of cumulative anthropogenic pressures, along with climate change, means that pressures are increasing in the assessed Regions (II and III).</w:t>
            </w:r>
          </w:p>
          <w:p w14:paraId="2AB0884B" w14:textId="77777777" w:rsidR="001A3F8D" w:rsidRPr="003D4093" w:rsidRDefault="001A3F8D" w:rsidP="00E40E80">
            <w:pPr>
              <w:tabs>
                <w:tab w:val="clear" w:pos="567"/>
              </w:tabs>
              <w:spacing w:after="150" w:line="240" w:lineRule="auto"/>
              <w:jc w:val="left"/>
              <w:rPr>
                <w:rFonts w:asciiTheme="minorHAnsi" w:hAnsiTheme="minorHAnsi" w:cstheme="minorHAnsi"/>
                <w:color w:val="auto"/>
                <w:szCs w:val="22"/>
                <w:lang w:val="en-GB" w:eastAsia="en-GB"/>
              </w:rPr>
            </w:pPr>
            <w:r w:rsidRPr="003D4093">
              <w:rPr>
                <w:rFonts w:asciiTheme="minorHAnsi" w:hAnsiTheme="minorHAnsi" w:cstheme="minorHAnsi"/>
                <w:color w:val="auto"/>
                <w:szCs w:val="22"/>
                <w:lang w:val="en-GB" w:eastAsia="en-GB"/>
              </w:rPr>
              <w:t xml:space="preserve">Management considerations for </w:t>
            </w:r>
            <w:r w:rsidRPr="003D4093">
              <w:rPr>
                <w:rFonts w:asciiTheme="minorHAnsi" w:hAnsiTheme="minorHAnsi" w:cstheme="minorHAnsi"/>
                <w:i/>
                <w:iCs/>
                <w:color w:val="auto"/>
                <w:szCs w:val="22"/>
                <w:lang w:val="en-GB" w:eastAsia="en-GB"/>
              </w:rPr>
              <w:t>M. modiolus</w:t>
            </w:r>
            <w:r w:rsidRPr="003D4093">
              <w:rPr>
                <w:rFonts w:asciiTheme="minorHAnsi" w:hAnsiTheme="minorHAnsi" w:cstheme="minorHAnsi"/>
                <w:color w:val="auto"/>
                <w:szCs w:val="22"/>
                <w:lang w:val="en-GB" w:eastAsia="en-GB"/>
              </w:rPr>
              <w:t> beds include, amongst others: minimising or avoidance of damage, establishment of marine protected areas, controlling inputs of pollutants, increasing awareness of the importance of </w:t>
            </w:r>
            <w:r w:rsidRPr="003D4093">
              <w:rPr>
                <w:rFonts w:asciiTheme="minorHAnsi" w:hAnsiTheme="minorHAnsi" w:cstheme="minorHAnsi"/>
                <w:i/>
                <w:iCs/>
                <w:color w:val="auto"/>
                <w:szCs w:val="22"/>
                <w:lang w:val="en-GB" w:eastAsia="en-GB"/>
              </w:rPr>
              <w:t>M. modiolus</w:t>
            </w:r>
            <w:r w:rsidRPr="003D4093">
              <w:rPr>
                <w:rFonts w:asciiTheme="minorHAnsi" w:hAnsiTheme="minorHAnsi" w:cstheme="minorHAnsi"/>
                <w:color w:val="auto"/>
                <w:szCs w:val="22"/>
                <w:lang w:val="en-GB" w:eastAsia="en-GB"/>
              </w:rPr>
              <w:t> beds through assessments and reports. Re-assessment of the status of and threats to </w:t>
            </w:r>
            <w:r w:rsidRPr="003D4093">
              <w:rPr>
                <w:rFonts w:asciiTheme="minorHAnsi" w:hAnsiTheme="minorHAnsi" w:cstheme="minorHAnsi"/>
                <w:i/>
                <w:iCs/>
                <w:color w:val="auto"/>
                <w:szCs w:val="22"/>
                <w:lang w:val="en-GB" w:eastAsia="en-GB"/>
              </w:rPr>
              <w:t xml:space="preserve">M. modiolus </w:t>
            </w:r>
            <w:r w:rsidRPr="003D4093">
              <w:rPr>
                <w:rFonts w:asciiTheme="minorHAnsi" w:hAnsiTheme="minorHAnsi" w:cstheme="minorHAnsi"/>
                <w:color w:val="auto"/>
                <w:szCs w:val="22"/>
                <w:lang w:val="en-GB" w:eastAsia="en-GB"/>
              </w:rPr>
              <w:t>beds should preferably be done during six yearly cycles.</w:t>
            </w:r>
          </w:p>
        </w:tc>
      </w:tr>
      <w:tr w:rsidR="001A3F8D" w:rsidRPr="003D4093" w14:paraId="3746EFF2" w14:textId="77777777" w:rsidTr="001E4D6B">
        <w:tc>
          <w:tcPr>
            <w:tcW w:w="1774" w:type="dxa"/>
          </w:tcPr>
          <w:p w14:paraId="559C736A"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Knowledge gaps (brief)</w:t>
            </w:r>
          </w:p>
          <w:p w14:paraId="6E049900"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p>
          <w:p w14:paraId="416E79A1"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- 100 words</w:t>
            </w:r>
          </w:p>
        </w:tc>
        <w:tc>
          <w:tcPr>
            <w:tcW w:w="8036" w:type="dxa"/>
            <w:gridSpan w:val="2"/>
          </w:tcPr>
          <w:p w14:paraId="463CED3B" w14:textId="77777777" w:rsidR="001A3F8D" w:rsidRPr="003D4093" w:rsidRDefault="001A3F8D" w:rsidP="00E40E80">
            <w:pPr>
              <w:tabs>
                <w:tab w:val="clear" w:pos="567"/>
              </w:tabs>
              <w:spacing w:line="240" w:lineRule="auto"/>
              <w:rPr>
                <w:rFonts w:asciiTheme="minorHAnsi" w:hAnsiTheme="minorHAnsi" w:cstheme="minorHAnsi"/>
                <w:color w:val="auto"/>
                <w:szCs w:val="22"/>
                <w:u w:val="single"/>
                <w:lang w:val="en-GB"/>
              </w:rPr>
            </w:pPr>
            <w:r w:rsidRPr="003D4093">
              <w:rPr>
                <w:rFonts w:asciiTheme="minorHAnsi" w:hAnsiTheme="minorHAnsi" w:cstheme="minorHAnsi"/>
                <w:i/>
                <w:iCs/>
                <w:color w:val="auto"/>
                <w:szCs w:val="22"/>
                <w:lang w:val="en-GB"/>
              </w:rPr>
              <w:t xml:space="preserve">M. modiolus </w:t>
            </w:r>
            <w:r w:rsidRPr="003D4093">
              <w:rPr>
                <w:rFonts w:asciiTheme="minorHAnsi" w:hAnsiTheme="minorHAnsi" w:cstheme="minorHAnsi"/>
                <w:color w:val="auto"/>
                <w:szCs w:val="22"/>
                <w:lang w:val="en-GB"/>
              </w:rPr>
              <w:t xml:space="preserve">beds are difficult to assess. There are difficulties in distinguishing records of individual specimens from aggregations which are sufficient to be reliably classified as beds. Furthermore, the fragmented nature of beds means that total extent can be difficult to map. Very few countries have monitored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periodically over sufficient time scales to detect changes in extent and condition. Furthermore, often surveys focus on a couple of beds and many beds have not been assessed for a decade or more. New records of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are emerging in some areas (i.e. Northern Ireland, Ireland (Farinas-Franco </w:t>
            </w:r>
            <w:r w:rsidRPr="003D4093">
              <w:rPr>
                <w:rFonts w:asciiTheme="minorHAnsi" w:hAnsiTheme="minorHAnsi" w:cstheme="minorHAnsi"/>
                <w:i/>
                <w:iCs/>
                <w:color w:val="auto"/>
                <w:szCs w:val="22"/>
                <w:lang w:val="en-GB"/>
              </w:rPr>
              <w:t>per comms)</w:t>
            </w:r>
            <w:r w:rsidRPr="003D4093">
              <w:rPr>
                <w:rFonts w:asciiTheme="minorHAnsi" w:hAnsiTheme="minorHAnsi" w:cstheme="minorHAnsi"/>
                <w:color w:val="auto"/>
                <w:szCs w:val="22"/>
                <w:lang w:val="en-GB"/>
              </w:rPr>
              <w:t xml:space="preserve"> and Norway). Work is needed to survey these areas and determine if the records constitute as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If they do, records should be added to OSPARs habitat dataset, and the extent and condition of the beds assessed.</w:t>
            </w:r>
          </w:p>
          <w:p w14:paraId="2A65BECF"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bookmarkStart w:id="2" w:name="_Hlk178258709"/>
            <w:r w:rsidRPr="003D4093">
              <w:rPr>
                <w:rFonts w:asciiTheme="minorHAnsi" w:hAnsiTheme="minorHAnsi" w:cstheme="minorHAnsi"/>
                <w:color w:val="auto"/>
                <w:szCs w:val="22"/>
                <w:lang w:val="en-GB"/>
              </w:rPr>
              <w:t xml:space="preserve">Uncertainties around how to define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and the limited information available about the distribution, extent, and condition of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in Regions II and III (and no information in Regions I, IV and V) resulted in a low confidence associated with this status assessment. Some records are currently uncertain, further lowering the confidence in the geographical distribution shown in Figure 1. Work is needed to better clarify some of these records and remove them from the OSPARs habitat dataset if there is evidence that they do not represent beds. </w:t>
            </w:r>
          </w:p>
          <w:bookmarkEnd w:id="2"/>
          <w:p w14:paraId="1C55E4E4"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Knowledge gaps also exist for some threats. For example, there is limited understanding about the exposure of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to pressures from static fishing gear. Furthermore, scientific research suggests that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are sensitive to climate change. However, there is a paucity of species-specific research, particularly regarding ocean acidification.</w:t>
            </w:r>
          </w:p>
          <w:p w14:paraId="263AC291"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We recommend that a working group be created, made up of Contracting Parties that have records of </w:t>
            </w:r>
            <w:r w:rsidRPr="003D4093">
              <w:rPr>
                <w:rFonts w:asciiTheme="minorHAnsi" w:hAnsiTheme="minorHAnsi" w:cstheme="minorHAnsi"/>
                <w:i/>
                <w:iCs/>
                <w:color w:val="auto"/>
                <w:szCs w:val="22"/>
                <w:lang w:val="en-GB"/>
              </w:rPr>
              <w:t xml:space="preserve">M. modiolus </w:t>
            </w:r>
            <w:r w:rsidRPr="003D4093">
              <w:rPr>
                <w:rFonts w:asciiTheme="minorHAnsi" w:hAnsiTheme="minorHAnsi" w:cstheme="minorHAnsi"/>
                <w:color w:val="auto"/>
                <w:szCs w:val="22"/>
                <w:lang w:val="en-GB"/>
              </w:rPr>
              <w:t xml:space="preserve">beds. The working group could facilitate discussions regarding best practice for surveying </w:t>
            </w:r>
            <w:r w:rsidRPr="003D4093">
              <w:rPr>
                <w:rFonts w:asciiTheme="minorHAnsi" w:hAnsiTheme="minorHAnsi" w:cstheme="minorHAnsi"/>
                <w:i/>
                <w:iCs/>
                <w:color w:val="auto"/>
                <w:szCs w:val="22"/>
                <w:lang w:val="en-GB"/>
              </w:rPr>
              <w:t xml:space="preserve">M. modiolus </w:t>
            </w:r>
            <w:r w:rsidRPr="003D4093">
              <w:rPr>
                <w:rFonts w:asciiTheme="minorHAnsi" w:hAnsiTheme="minorHAnsi" w:cstheme="minorHAnsi"/>
                <w:color w:val="auto"/>
                <w:szCs w:val="22"/>
                <w:lang w:val="en-GB"/>
              </w:rPr>
              <w:t xml:space="preserve">beds and discuss shared trends across within and between OSPAR regions. The group could also agree on a Standard Operating Procedure for monitoring of </w:t>
            </w:r>
            <w:r w:rsidRPr="003D4093">
              <w:rPr>
                <w:rFonts w:asciiTheme="minorHAnsi" w:hAnsiTheme="minorHAnsi" w:cstheme="minorHAnsi"/>
                <w:i/>
                <w:iCs/>
                <w:color w:val="auto"/>
                <w:szCs w:val="22"/>
                <w:lang w:val="en-GB"/>
              </w:rPr>
              <w:t xml:space="preserve">M. modiolus </w:t>
            </w:r>
            <w:r w:rsidRPr="003D4093">
              <w:rPr>
                <w:rFonts w:asciiTheme="minorHAnsi" w:hAnsiTheme="minorHAnsi" w:cstheme="minorHAnsi"/>
                <w:color w:val="auto"/>
                <w:szCs w:val="22"/>
                <w:lang w:val="en-GB"/>
              </w:rPr>
              <w:t>beds across Contracting Parties, enabling improved comparison between beds across the OSPAR maritime area. A more detailed assessment should be carried out alongside this T&amp;D status assessment to record information specific to certain countries and beds.</w:t>
            </w:r>
          </w:p>
        </w:tc>
      </w:tr>
      <w:tr w:rsidR="001A3F8D" w:rsidRPr="003D4093" w14:paraId="1CCCE92A" w14:textId="77777777" w:rsidTr="001E4D6B">
        <w:tc>
          <w:tcPr>
            <w:tcW w:w="1774" w:type="dxa"/>
          </w:tcPr>
          <w:p w14:paraId="376FE464"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References </w:t>
            </w:r>
          </w:p>
        </w:tc>
        <w:tc>
          <w:tcPr>
            <w:tcW w:w="8036" w:type="dxa"/>
            <w:gridSpan w:val="2"/>
          </w:tcPr>
          <w:p w14:paraId="5A99A31F" w14:textId="77777777" w:rsidR="001A3F8D" w:rsidRPr="003D4093" w:rsidRDefault="001A3F8D" w:rsidP="00E40E80">
            <w:pPr>
              <w:tabs>
                <w:tab w:val="clear" w:pos="567"/>
              </w:tabs>
              <w:spacing w:line="240" w:lineRule="auto"/>
              <w:rPr>
                <w:rFonts w:asciiTheme="minorHAnsi" w:hAnsiTheme="minorHAnsi" w:cstheme="minorHAnsi"/>
                <w:color w:val="0A0A0A"/>
                <w:szCs w:val="22"/>
                <w:shd w:val="clear" w:color="auto" w:fill="FEFEFE"/>
                <w:lang w:val="en-GB"/>
              </w:rPr>
            </w:pPr>
            <w:r w:rsidRPr="003D4093">
              <w:rPr>
                <w:rFonts w:asciiTheme="minorHAnsi" w:hAnsiTheme="minorHAnsi" w:cstheme="minorHAnsi"/>
                <w:color w:val="0A0A0A"/>
                <w:szCs w:val="22"/>
                <w:shd w:val="clear" w:color="auto" w:fill="FEFEFE"/>
                <w:lang w:val="en-GB"/>
              </w:rPr>
              <w:t xml:space="preserve">Greathead, C., Boschen-Rose, R.E., Langton, R., Clarke, J., Wright, P.J., and </w:t>
            </w:r>
            <w:proofErr w:type="spellStart"/>
            <w:r w:rsidRPr="003D4093">
              <w:rPr>
                <w:rFonts w:asciiTheme="minorHAnsi" w:hAnsiTheme="minorHAnsi" w:cstheme="minorHAnsi"/>
                <w:color w:val="0A0A0A"/>
                <w:szCs w:val="22"/>
                <w:shd w:val="clear" w:color="auto" w:fill="FEFEFE"/>
                <w:lang w:val="en-GB"/>
              </w:rPr>
              <w:t>Boulcott</w:t>
            </w:r>
            <w:proofErr w:type="spellEnd"/>
            <w:r w:rsidRPr="003D4093">
              <w:rPr>
                <w:rFonts w:asciiTheme="minorHAnsi" w:hAnsiTheme="minorHAnsi" w:cstheme="minorHAnsi"/>
                <w:color w:val="0A0A0A"/>
                <w:szCs w:val="22"/>
                <w:shd w:val="clear" w:color="auto" w:fill="FEFEFE"/>
                <w:lang w:val="en-GB"/>
              </w:rPr>
              <w:t xml:space="preserve">, P. 2023. Priority marine feature surveys within the Small Isles MPA and surrounding waters. Main Report. </w:t>
            </w:r>
            <w:r w:rsidRPr="003D4093">
              <w:rPr>
                <w:rFonts w:asciiTheme="minorHAnsi" w:hAnsiTheme="minorHAnsi" w:cstheme="minorHAnsi"/>
                <w:i/>
                <w:iCs/>
                <w:color w:val="0A0A0A"/>
                <w:szCs w:val="22"/>
                <w:shd w:val="clear" w:color="auto" w:fill="FEFEFE"/>
                <w:lang w:val="en-GB"/>
              </w:rPr>
              <w:t>Scottish marine and Freshwater Science</w:t>
            </w:r>
            <w:r w:rsidRPr="003D4093">
              <w:rPr>
                <w:rFonts w:asciiTheme="minorHAnsi" w:hAnsiTheme="minorHAnsi" w:cstheme="minorHAnsi"/>
                <w:color w:val="0A0A0A"/>
                <w:szCs w:val="22"/>
                <w:shd w:val="clear" w:color="auto" w:fill="FEFEFE"/>
                <w:lang w:val="en-GB"/>
              </w:rPr>
              <w:t>, 14(1): 52p.</w:t>
            </w:r>
          </w:p>
          <w:p w14:paraId="5313D173" w14:textId="77777777" w:rsidR="001A3F8D" w:rsidRPr="003D4093" w:rsidRDefault="001A3F8D" w:rsidP="00E40E80">
            <w:pPr>
              <w:tabs>
                <w:tab w:val="clear" w:pos="567"/>
              </w:tabs>
              <w:spacing w:line="240" w:lineRule="auto"/>
              <w:rPr>
                <w:rFonts w:asciiTheme="minorHAnsi" w:hAnsiTheme="minorHAnsi" w:cstheme="minorHAnsi"/>
                <w:color w:val="0A0A0A"/>
                <w:szCs w:val="22"/>
                <w:shd w:val="clear" w:color="auto" w:fill="FEFEFE"/>
                <w:lang w:val="en-GB"/>
              </w:rPr>
            </w:pPr>
            <w:r w:rsidRPr="003D4093">
              <w:rPr>
                <w:rFonts w:asciiTheme="minorHAnsi" w:hAnsiTheme="minorHAnsi" w:cstheme="minorHAnsi"/>
                <w:color w:val="0A0A0A"/>
                <w:szCs w:val="22"/>
                <w:shd w:val="clear" w:color="auto" w:fill="FEFEFE"/>
                <w:lang w:val="en-GB"/>
              </w:rPr>
              <w:t>JNCC (2022) The Marine Habitat Classification for Britain and Ireland Version 22.04. [26/09/2024]. Available from:</w:t>
            </w:r>
            <w:r w:rsidRPr="003D4093">
              <w:rPr>
                <w:rFonts w:asciiTheme="minorHAnsi" w:hAnsiTheme="minorHAnsi" w:cstheme="minorHAnsi"/>
                <w:b/>
                <w:bCs/>
                <w:color w:val="0A0A0A"/>
                <w:szCs w:val="22"/>
                <w:shd w:val="clear" w:color="auto" w:fill="FEFEFE"/>
                <w:lang w:val="en-GB"/>
              </w:rPr>
              <w:t> </w:t>
            </w:r>
            <w:hyperlink r:id="rId16" w:history="1">
              <w:r w:rsidRPr="003D4093">
                <w:rPr>
                  <w:rFonts w:asciiTheme="minorHAnsi" w:hAnsiTheme="minorHAnsi" w:cstheme="minorHAnsi"/>
                  <w:color w:val="0000FF"/>
                  <w:szCs w:val="22"/>
                  <w:u w:val="single"/>
                  <w:shd w:val="clear" w:color="auto" w:fill="FEFEFE"/>
                  <w:lang w:val="en-GB"/>
                </w:rPr>
                <w:t>https://mhc.jncc.gov.uk/</w:t>
              </w:r>
            </w:hyperlink>
          </w:p>
          <w:p w14:paraId="3A5705EA" w14:textId="77777777" w:rsidR="001A3F8D" w:rsidRPr="003D4093" w:rsidRDefault="001A3F8D" w:rsidP="00E40E80">
            <w:pPr>
              <w:tabs>
                <w:tab w:val="clear" w:pos="567"/>
              </w:tabs>
              <w:spacing w:line="240" w:lineRule="auto"/>
              <w:rPr>
                <w:rFonts w:asciiTheme="minorHAnsi" w:hAnsiTheme="minorHAnsi" w:cstheme="minorHAnsi"/>
                <w:color w:val="0A0A0A"/>
                <w:szCs w:val="22"/>
                <w:shd w:val="clear" w:color="auto" w:fill="FEFEFE"/>
                <w:lang w:val="en-GB"/>
              </w:rPr>
            </w:pPr>
            <w:r w:rsidRPr="003D4093">
              <w:rPr>
                <w:rFonts w:asciiTheme="minorHAnsi" w:hAnsiTheme="minorHAnsi" w:cstheme="minorHAnsi"/>
                <w:color w:val="0A0A0A"/>
                <w:szCs w:val="22"/>
                <w:shd w:val="clear" w:color="auto" w:fill="FEFEFE"/>
                <w:lang w:val="en-GB"/>
              </w:rPr>
              <w:t xml:space="preserve">Leung, J., Zhang, S., and Connell, S. 2022. Is ocean acidification really a threat to marine </w:t>
            </w:r>
            <w:proofErr w:type="spellStart"/>
            <w:r w:rsidRPr="003D4093">
              <w:rPr>
                <w:rFonts w:asciiTheme="minorHAnsi" w:hAnsiTheme="minorHAnsi" w:cstheme="minorHAnsi"/>
                <w:color w:val="0A0A0A"/>
                <w:szCs w:val="22"/>
                <w:shd w:val="clear" w:color="auto" w:fill="FEFEFE"/>
                <w:lang w:val="en-GB"/>
              </w:rPr>
              <w:t>calcifiers</w:t>
            </w:r>
            <w:proofErr w:type="spellEnd"/>
            <w:r w:rsidRPr="003D4093">
              <w:rPr>
                <w:rFonts w:asciiTheme="minorHAnsi" w:hAnsiTheme="minorHAnsi" w:cstheme="minorHAnsi"/>
                <w:color w:val="0A0A0A"/>
                <w:szCs w:val="22"/>
                <w:shd w:val="clear" w:color="auto" w:fill="FEFEFE"/>
                <w:lang w:val="en-GB"/>
              </w:rPr>
              <w:t>? A systematic review and meta-analysis of 980+ studies spanning two decades. Small, 18: 2107407.</w:t>
            </w:r>
          </w:p>
          <w:p w14:paraId="378AB361" w14:textId="77777777" w:rsidR="001A3F8D" w:rsidRPr="003D4093" w:rsidRDefault="001A3F8D" w:rsidP="00E40E80">
            <w:pPr>
              <w:tabs>
                <w:tab w:val="clear" w:pos="567"/>
              </w:tabs>
              <w:spacing w:line="240" w:lineRule="auto"/>
              <w:rPr>
                <w:rFonts w:asciiTheme="minorHAnsi" w:hAnsiTheme="minorHAnsi" w:cstheme="minorHAnsi"/>
                <w:color w:val="0A0A0A"/>
                <w:szCs w:val="22"/>
                <w:shd w:val="clear" w:color="auto" w:fill="FEFEFE"/>
                <w:lang w:val="en-GB"/>
              </w:rPr>
            </w:pPr>
            <w:r w:rsidRPr="003D4093">
              <w:rPr>
                <w:rFonts w:asciiTheme="minorHAnsi" w:hAnsiTheme="minorHAnsi" w:cstheme="minorHAnsi"/>
                <w:color w:val="0A0A0A"/>
                <w:szCs w:val="22"/>
                <w:shd w:val="clear" w:color="auto" w:fill="FEFEFE"/>
                <w:lang w:val="en-GB"/>
              </w:rPr>
              <w:t>OSPAR 2021a.</w:t>
            </w:r>
            <w:r w:rsidRPr="003D4093">
              <w:rPr>
                <w:rFonts w:asciiTheme="minorHAnsi" w:hAnsiTheme="minorHAnsi" w:cstheme="minorHAnsi"/>
                <w:b/>
                <w:caps/>
                <w:color w:val="333333"/>
                <w:kern w:val="36"/>
                <w:szCs w:val="22"/>
                <w:lang w:val="en-GB" w:eastAsia="en-GB"/>
              </w:rPr>
              <w:t xml:space="preserve"> </w:t>
            </w:r>
            <w:r w:rsidRPr="003D4093">
              <w:rPr>
                <w:rFonts w:asciiTheme="minorHAnsi" w:hAnsiTheme="minorHAnsi" w:cstheme="minorHAnsi"/>
                <w:color w:val="0A0A0A"/>
                <w:szCs w:val="22"/>
                <w:shd w:val="clear" w:color="auto" w:fill="FEFEFE"/>
                <w:lang w:val="en-GB"/>
              </w:rPr>
              <w:t xml:space="preserve">Feeder Report 2021 – Fisheries. Version 1.0.0. Assessed [31/08/2024] at: </w:t>
            </w:r>
            <w:hyperlink r:id="rId17" w:history="1">
              <w:r w:rsidRPr="003D4093">
                <w:rPr>
                  <w:rFonts w:asciiTheme="minorHAnsi" w:hAnsiTheme="minorHAnsi" w:cstheme="minorHAnsi"/>
                  <w:color w:val="0000FF"/>
                  <w:szCs w:val="22"/>
                  <w:u w:val="single"/>
                  <w:shd w:val="clear" w:color="auto" w:fill="FEFEFE"/>
                  <w:lang w:val="en-GB"/>
                </w:rPr>
                <w:t>https://oap.ospar.org/en/ospar-assessments/quality-status-reports/qsr-2023/other-assessments/fisheries/</w:t>
              </w:r>
            </w:hyperlink>
          </w:p>
          <w:p w14:paraId="5F10741E" w14:textId="77777777" w:rsidR="001A3F8D" w:rsidRPr="003D4093" w:rsidRDefault="001A3F8D" w:rsidP="00E40E80">
            <w:pPr>
              <w:tabs>
                <w:tab w:val="clear" w:pos="567"/>
              </w:tabs>
              <w:spacing w:line="240" w:lineRule="auto"/>
              <w:rPr>
                <w:rFonts w:asciiTheme="minorHAnsi" w:hAnsiTheme="minorHAnsi" w:cstheme="minorHAnsi"/>
                <w:color w:val="0A0A0A"/>
                <w:szCs w:val="22"/>
                <w:shd w:val="clear" w:color="auto" w:fill="FEFEFE"/>
                <w:lang w:val="en-GB"/>
              </w:rPr>
            </w:pPr>
            <w:r w:rsidRPr="003D4093">
              <w:rPr>
                <w:rFonts w:asciiTheme="minorHAnsi" w:hAnsiTheme="minorHAnsi" w:cstheme="minorHAnsi"/>
                <w:color w:val="0A0A0A"/>
                <w:szCs w:val="22"/>
                <w:shd w:val="clear" w:color="auto" w:fill="FEFEFE"/>
                <w:lang w:val="en-GB"/>
              </w:rPr>
              <w:t xml:space="preserve">OSPAR 2021b. Feeder Report 2021 - Offshore Renewable Energy Generation. Version 1.0.0. Assessed [31/08/2024] at: </w:t>
            </w:r>
            <w:hyperlink r:id="rId18" w:history="1">
              <w:r w:rsidRPr="003D4093">
                <w:rPr>
                  <w:rFonts w:asciiTheme="minorHAnsi" w:hAnsiTheme="minorHAnsi" w:cstheme="minorHAnsi"/>
                  <w:color w:val="0000FF"/>
                  <w:szCs w:val="22"/>
                  <w:u w:val="single"/>
                  <w:shd w:val="clear" w:color="auto" w:fill="FEFEFE"/>
                  <w:lang w:val="en-GB"/>
                </w:rPr>
                <w:t>https://oap.ospar.org/en/ospar-assessments/quality-status-reports/qsr-2023/other-assessments/renewable-energy/</w:t>
              </w:r>
            </w:hyperlink>
          </w:p>
          <w:p w14:paraId="1543819C" w14:textId="77777777" w:rsidR="001A3F8D" w:rsidRPr="003D4093" w:rsidRDefault="001A3F8D" w:rsidP="00E40E80">
            <w:pPr>
              <w:tabs>
                <w:tab w:val="clear" w:pos="567"/>
              </w:tabs>
              <w:spacing w:line="240" w:lineRule="auto"/>
              <w:rPr>
                <w:rFonts w:asciiTheme="minorHAnsi" w:hAnsiTheme="minorHAnsi" w:cstheme="minorHAnsi"/>
                <w:color w:val="0A0A0A"/>
                <w:szCs w:val="22"/>
                <w:shd w:val="clear" w:color="auto" w:fill="FEFEFE"/>
                <w:lang w:val="en-GB"/>
              </w:rPr>
            </w:pPr>
            <w:r w:rsidRPr="003D4093">
              <w:rPr>
                <w:rFonts w:asciiTheme="minorHAnsi" w:hAnsiTheme="minorHAnsi" w:cstheme="minorHAnsi"/>
                <w:color w:val="0A0A0A"/>
                <w:szCs w:val="22"/>
                <w:shd w:val="clear" w:color="auto" w:fill="FEFEFE"/>
                <w:lang w:val="en-GB"/>
              </w:rPr>
              <w:t xml:space="preserve">Poppe, G.E., and Gotto, Y. 1993. European Seashells Vol II. Scaphopods, Bivalves, Cephalopods. </w:t>
            </w:r>
            <w:r w:rsidRPr="003D4093">
              <w:rPr>
                <w:rFonts w:asciiTheme="minorHAnsi" w:hAnsiTheme="minorHAnsi" w:cstheme="minorHAnsi"/>
                <w:i/>
                <w:iCs/>
                <w:color w:val="0A0A0A"/>
                <w:szCs w:val="22"/>
                <w:shd w:val="clear" w:color="auto" w:fill="FEFEFE"/>
                <w:lang w:val="en-GB"/>
              </w:rPr>
              <w:t>Conch Books</w:t>
            </w:r>
            <w:r w:rsidRPr="003D4093">
              <w:rPr>
                <w:rFonts w:asciiTheme="minorHAnsi" w:hAnsiTheme="minorHAnsi" w:cstheme="minorHAnsi"/>
                <w:color w:val="0A0A0A"/>
                <w:szCs w:val="22"/>
                <w:shd w:val="clear" w:color="auto" w:fill="FEFEFE"/>
                <w:lang w:val="en-GB"/>
              </w:rPr>
              <w:t xml:space="preserve">, </w:t>
            </w:r>
            <w:proofErr w:type="spellStart"/>
            <w:r w:rsidRPr="003D4093">
              <w:rPr>
                <w:rFonts w:asciiTheme="minorHAnsi" w:hAnsiTheme="minorHAnsi" w:cstheme="minorHAnsi"/>
                <w:color w:val="0A0A0A"/>
                <w:szCs w:val="22"/>
                <w:shd w:val="clear" w:color="auto" w:fill="FEFEFE"/>
                <w:lang w:val="en-GB"/>
              </w:rPr>
              <w:t>Haekenheim</w:t>
            </w:r>
            <w:proofErr w:type="spellEnd"/>
            <w:r w:rsidRPr="003D4093">
              <w:rPr>
                <w:rFonts w:asciiTheme="minorHAnsi" w:hAnsiTheme="minorHAnsi" w:cstheme="minorHAnsi"/>
                <w:color w:val="0A0A0A"/>
                <w:szCs w:val="22"/>
                <w:shd w:val="clear" w:color="auto" w:fill="FEFEFE"/>
                <w:lang w:val="en-GB"/>
              </w:rPr>
              <w:t xml:space="preserve">. 221p. </w:t>
            </w:r>
          </w:p>
          <w:p w14:paraId="59D007ED"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0A0A0A"/>
                <w:szCs w:val="22"/>
                <w:shd w:val="clear" w:color="auto" w:fill="FEFEFE"/>
                <w:lang w:val="en-GB"/>
              </w:rPr>
              <w:t>Strong, J.A., Service, M., &amp; Moore, H. (2016). Estimating the historical distribution, abundance and ecological contribution of </w:t>
            </w:r>
            <w:r w:rsidRPr="003D4093">
              <w:rPr>
                <w:rFonts w:asciiTheme="minorHAnsi" w:hAnsiTheme="minorHAnsi" w:cstheme="minorHAnsi"/>
                <w:i/>
                <w:iCs/>
                <w:color w:val="0A0A0A"/>
                <w:szCs w:val="22"/>
                <w:shd w:val="clear" w:color="auto" w:fill="FEFEFE"/>
                <w:lang w:val="en-GB"/>
              </w:rPr>
              <w:t xml:space="preserve">Modiolus </w:t>
            </w:r>
            <w:proofErr w:type="spellStart"/>
            <w:r w:rsidRPr="003D4093">
              <w:rPr>
                <w:rFonts w:asciiTheme="minorHAnsi" w:hAnsiTheme="minorHAnsi" w:cstheme="minorHAnsi"/>
                <w:i/>
                <w:iCs/>
                <w:color w:val="0A0A0A"/>
                <w:szCs w:val="22"/>
                <w:shd w:val="clear" w:color="auto" w:fill="FEFEFE"/>
                <w:lang w:val="en-GB"/>
              </w:rPr>
              <w:t>modiolus</w:t>
            </w:r>
            <w:proofErr w:type="spellEnd"/>
            <w:r w:rsidRPr="003D4093">
              <w:rPr>
                <w:rFonts w:asciiTheme="minorHAnsi" w:hAnsiTheme="minorHAnsi" w:cstheme="minorHAnsi"/>
                <w:color w:val="0A0A0A"/>
                <w:szCs w:val="22"/>
                <w:shd w:val="clear" w:color="auto" w:fill="FEFEFE"/>
                <w:lang w:val="en-GB"/>
              </w:rPr>
              <w:t> in Strangford Lough, Northern Ireland. </w:t>
            </w:r>
            <w:r w:rsidRPr="003D4093">
              <w:rPr>
                <w:rFonts w:asciiTheme="minorHAnsi" w:hAnsiTheme="minorHAnsi" w:cstheme="minorHAnsi"/>
                <w:i/>
                <w:iCs/>
                <w:color w:val="0A0A0A"/>
                <w:szCs w:val="22"/>
                <w:shd w:val="clear" w:color="auto" w:fill="FEFEFE"/>
                <w:lang w:val="en-GB"/>
              </w:rPr>
              <w:t>Biology and Environment: Proceedings of the Royal Irish Academy</w:t>
            </w:r>
            <w:r w:rsidRPr="003D4093">
              <w:rPr>
                <w:rFonts w:asciiTheme="minorHAnsi" w:hAnsiTheme="minorHAnsi" w:cstheme="minorHAnsi"/>
                <w:color w:val="0A0A0A"/>
                <w:szCs w:val="22"/>
                <w:shd w:val="clear" w:color="auto" w:fill="FEFEFE"/>
                <w:lang w:val="en-GB"/>
              </w:rPr>
              <w:t> </w:t>
            </w:r>
            <w:r w:rsidRPr="003D4093">
              <w:rPr>
                <w:rFonts w:asciiTheme="minorHAnsi" w:hAnsiTheme="minorHAnsi" w:cstheme="minorHAnsi"/>
                <w:i/>
                <w:iCs/>
                <w:color w:val="0A0A0A"/>
                <w:szCs w:val="22"/>
                <w:shd w:val="clear" w:color="auto" w:fill="FEFEFE"/>
                <w:lang w:val="en-GB"/>
              </w:rPr>
              <w:t>116B</w:t>
            </w:r>
            <w:r w:rsidRPr="003D4093">
              <w:rPr>
                <w:rFonts w:asciiTheme="minorHAnsi" w:hAnsiTheme="minorHAnsi" w:cstheme="minorHAnsi"/>
                <w:color w:val="0A0A0A"/>
                <w:szCs w:val="22"/>
                <w:shd w:val="clear" w:color="auto" w:fill="FEFEFE"/>
                <w:lang w:val="en-GB"/>
              </w:rPr>
              <w:t>(1), 1-16. </w:t>
            </w:r>
            <w:hyperlink r:id="rId19" w:history="1">
              <w:r w:rsidRPr="003D4093">
                <w:rPr>
                  <w:rFonts w:asciiTheme="minorHAnsi" w:hAnsiTheme="minorHAnsi" w:cstheme="minorHAnsi"/>
                  <w:color w:val="315FA0"/>
                  <w:szCs w:val="22"/>
                  <w:u w:val="single"/>
                  <w:shd w:val="clear" w:color="auto" w:fill="FEFEFE"/>
                  <w:lang w:val="en-GB"/>
                </w:rPr>
                <w:t>https://doi.org/10.1353/bae.2016.0024</w:t>
              </w:r>
            </w:hyperlink>
          </w:p>
        </w:tc>
      </w:tr>
      <w:tr w:rsidR="001A3F8D" w:rsidRPr="003D4093" w14:paraId="30BED45C" w14:textId="77777777" w:rsidTr="001E4D6B">
        <w:trPr>
          <w:trHeight w:val="2826"/>
        </w:trPr>
        <w:tc>
          <w:tcPr>
            <w:tcW w:w="1774" w:type="dxa"/>
          </w:tcPr>
          <w:p w14:paraId="7C19B078"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(explanatory notes associated to rows above, if the category is indicated for: Method used)</w:t>
            </w:r>
          </w:p>
        </w:tc>
        <w:tc>
          <w:tcPr>
            <w:tcW w:w="8036" w:type="dxa"/>
            <w:gridSpan w:val="2"/>
          </w:tcPr>
          <w:p w14:paraId="0093DEFD"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Main source of information:</w:t>
            </w:r>
          </w:p>
          <w:p w14:paraId="43DE38E5" w14:textId="77777777" w:rsidR="001A3F8D" w:rsidRPr="003D4093" w:rsidRDefault="001A3F8D" w:rsidP="00E40E80">
            <w:pPr>
              <w:tabs>
                <w:tab w:val="clear" w:pos="567"/>
              </w:tabs>
              <w:ind w:left="357"/>
              <w:contextualSpacing/>
              <w:rPr>
                <w:rFonts w:asciiTheme="minorHAnsi" w:hAnsiTheme="minorHAnsi" w:cstheme="minorHAnsi"/>
                <w:color w:val="auto"/>
                <w:szCs w:val="22"/>
                <w:lang w:val="en-GB"/>
              </w:rPr>
            </w:pPr>
            <w:r w:rsidRPr="003D4093">
              <w:rPr>
                <w:rFonts w:asciiTheme="minorHAnsi" w:hAnsiTheme="minorHAnsi" w:cstheme="minorHAnsi"/>
                <w:color w:val="auto"/>
                <w:szCs w:val="22"/>
                <w:lang w:val="en-GB"/>
              </w:rPr>
              <w:t>3. Assessment derived from a mix of OSPAR data assessment and assessments from third parties.</w:t>
            </w:r>
          </w:p>
          <w:p w14:paraId="3F3990BE"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Assessment is based upon:</w:t>
            </w:r>
          </w:p>
          <w:p w14:paraId="1E72AF61" w14:textId="77777777" w:rsidR="001A3F8D" w:rsidRPr="003D4093" w:rsidRDefault="001A3F8D" w:rsidP="00E40E80">
            <w:pPr>
              <w:numPr>
                <w:ilvl w:val="0"/>
                <w:numId w:val="36"/>
              </w:numPr>
              <w:tabs>
                <w:tab w:val="clear" w:pos="567"/>
              </w:tabs>
              <w:spacing w:after="0" w:line="240" w:lineRule="auto"/>
              <w:contextualSpacing/>
              <w:rPr>
                <w:rFonts w:asciiTheme="minorHAnsi" w:hAnsiTheme="minorHAnsi" w:cstheme="minorHAnsi"/>
                <w:color w:val="auto"/>
                <w:sz w:val="24"/>
                <w:lang w:val="en-GB"/>
              </w:rPr>
            </w:pPr>
            <w:r w:rsidRPr="003D4093">
              <w:rPr>
                <w:rFonts w:asciiTheme="minorHAnsi" w:hAnsiTheme="minorHAnsi" w:cstheme="minorHAnsi"/>
                <w:color w:val="auto"/>
                <w:szCs w:val="22"/>
                <w:lang w:val="en-GB"/>
              </w:rPr>
              <w:t>based mainly on expert opinion with very limited data.</w:t>
            </w:r>
          </w:p>
        </w:tc>
      </w:tr>
      <w:tr w:rsidR="001A3F8D" w:rsidRPr="003D4093" w14:paraId="707EAEBE" w14:textId="77777777" w:rsidTr="001E4D6B">
        <w:trPr>
          <w:trHeight w:val="1108"/>
        </w:trPr>
        <w:tc>
          <w:tcPr>
            <w:tcW w:w="1802" w:type="dxa"/>
            <w:gridSpan w:val="2"/>
            <w:tcBorders>
              <w:top w:val="single" w:sz="4" w:space="0" w:color="auto"/>
              <w:left w:val="nil"/>
              <w:bottom w:val="single" w:sz="4" w:space="0" w:color="auto"/>
              <w:right w:val="nil"/>
            </w:tcBorders>
          </w:tcPr>
          <w:p w14:paraId="23E5A923"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p>
        </w:tc>
        <w:tc>
          <w:tcPr>
            <w:tcW w:w="8008" w:type="dxa"/>
            <w:tcBorders>
              <w:top w:val="single" w:sz="4" w:space="0" w:color="auto"/>
              <w:left w:val="nil"/>
              <w:bottom w:val="single" w:sz="4" w:space="0" w:color="auto"/>
              <w:right w:val="nil"/>
            </w:tcBorders>
          </w:tcPr>
          <w:p w14:paraId="3C9663C7"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p>
        </w:tc>
      </w:tr>
      <w:tr w:rsidR="001A3F8D" w:rsidRPr="003D4093" w14:paraId="7197C5E0" w14:textId="77777777" w:rsidTr="001E4D6B">
        <w:tc>
          <w:tcPr>
            <w:tcW w:w="1802" w:type="dxa"/>
            <w:gridSpan w:val="2"/>
            <w:tcBorders>
              <w:top w:val="single" w:sz="4" w:space="0" w:color="auto"/>
            </w:tcBorders>
            <w:hideMark/>
          </w:tcPr>
          <w:p w14:paraId="4702ACFA" w14:textId="77777777" w:rsidR="001A3F8D" w:rsidRPr="003D4093" w:rsidRDefault="001A3F8D" w:rsidP="00E40E80">
            <w:pPr>
              <w:tabs>
                <w:tab w:val="clear" w:pos="567"/>
              </w:tabs>
              <w:spacing w:line="240" w:lineRule="auto"/>
              <w:jc w:val="center"/>
              <w:rPr>
                <w:rFonts w:asciiTheme="minorHAnsi" w:hAnsiTheme="minorHAnsi" w:cstheme="minorHAnsi"/>
                <w:b/>
                <w:bCs/>
                <w:color w:val="auto"/>
                <w:szCs w:val="22"/>
                <w:lang w:val="en-GB"/>
              </w:rPr>
            </w:pPr>
            <w:r w:rsidRPr="003D4093">
              <w:rPr>
                <w:rFonts w:asciiTheme="minorHAnsi" w:hAnsiTheme="minorHAnsi" w:cstheme="minorHAnsi"/>
                <w:b/>
                <w:bCs/>
                <w:color w:val="auto"/>
                <w:szCs w:val="22"/>
                <w:lang w:val="en-GB"/>
              </w:rPr>
              <w:t>AUDIT TRAIL</w:t>
            </w:r>
          </w:p>
          <w:p w14:paraId="4CB2D9B2" w14:textId="77777777" w:rsidR="001A3F8D" w:rsidRPr="003D4093" w:rsidRDefault="001A3F8D" w:rsidP="00E40E80">
            <w:pPr>
              <w:tabs>
                <w:tab w:val="clear" w:pos="567"/>
              </w:tabs>
              <w:spacing w:line="240" w:lineRule="auto"/>
              <w:jc w:val="center"/>
              <w:rPr>
                <w:rFonts w:asciiTheme="minorHAnsi" w:hAnsiTheme="minorHAnsi" w:cstheme="minorHAnsi"/>
                <w:b/>
                <w:bCs/>
                <w:color w:val="auto"/>
                <w:szCs w:val="22"/>
                <w:lang w:val="en-GB"/>
              </w:rPr>
            </w:pPr>
            <w:r w:rsidRPr="003D4093">
              <w:rPr>
                <w:rFonts w:asciiTheme="minorHAnsi" w:hAnsiTheme="minorHAnsi" w:cstheme="minorHAnsi"/>
                <w:b/>
                <w:bCs/>
                <w:color w:val="auto"/>
                <w:szCs w:val="22"/>
                <w:lang w:val="en-GB"/>
              </w:rPr>
              <w:t>(Optional. No word limit)</w:t>
            </w:r>
          </w:p>
        </w:tc>
        <w:tc>
          <w:tcPr>
            <w:tcW w:w="8008" w:type="dxa"/>
            <w:tcBorders>
              <w:top w:val="single" w:sz="4" w:space="0" w:color="auto"/>
            </w:tcBorders>
          </w:tcPr>
          <w:p w14:paraId="04566A91" w14:textId="77777777" w:rsidR="001A3F8D" w:rsidRPr="003D4093" w:rsidRDefault="001A3F8D" w:rsidP="00E40E80">
            <w:pPr>
              <w:tabs>
                <w:tab w:val="clear" w:pos="567"/>
              </w:tabs>
              <w:spacing w:line="240" w:lineRule="auto"/>
              <w:jc w:val="center"/>
              <w:rPr>
                <w:rFonts w:asciiTheme="minorHAnsi" w:hAnsiTheme="minorHAnsi" w:cstheme="minorHAnsi"/>
                <w:b/>
                <w:bCs/>
                <w:color w:val="auto"/>
                <w:szCs w:val="22"/>
                <w:lang w:val="en-GB"/>
              </w:rPr>
            </w:pPr>
            <w:r w:rsidRPr="003D4093">
              <w:rPr>
                <w:rFonts w:asciiTheme="minorHAnsi" w:hAnsiTheme="minorHAnsi" w:cstheme="minorHAnsi"/>
                <w:b/>
                <w:bCs/>
                <w:color w:val="auto"/>
                <w:szCs w:val="22"/>
                <w:lang w:val="en-GB"/>
              </w:rPr>
              <w:t xml:space="preserve">Additional Evidence and Information </w:t>
            </w:r>
          </w:p>
          <w:p w14:paraId="0242FB8B" w14:textId="77777777" w:rsidR="001A3F8D" w:rsidRPr="003D4093" w:rsidRDefault="001A3F8D" w:rsidP="00E40E80">
            <w:pPr>
              <w:tabs>
                <w:tab w:val="clear" w:pos="567"/>
              </w:tabs>
              <w:spacing w:line="240" w:lineRule="auto"/>
              <w:jc w:val="center"/>
              <w:rPr>
                <w:rFonts w:asciiTheme="minorHAnsi" w:hAnsiTheme="minorHAnsi" w:cstheme="minorHAnsi"/>
                <w:color w:val="auto"/>
                <w:szCs w:val="22"/>
                <w:lang w:val="en-GB"/>
              </w:rPr>
            </w:pPr>
            <w:r w:rsidRPr="003D4093">
              <w:rPr>
                <w:rFonts w:asciiTheme="minorHAnsi" w:hAnsiTheme="minorHAnsi" w:cstheme="minorHAnsi"/>
                <w:color w:val="auto"/>
                <w:szCs w:val="22"/>
                <w:lang w:val="en-GB"/>
              </w:rPr>
              <w:t>Please insert below any relevant additional evidence and information that provides essential background and rationale to the assessments above. Include citations of the sources of evidence and information and provide full references in the relevant section below</w:t>
            </w:r>
          </w:p>
          <w:p w14:paraId="5EB8C62E" w14:textId="77777777" w:rsidR="001A3F8D" w:rsidRPr="003D4093" w:rsidRDefault="001A3F8D" w:rsidP="00E40E80">
            <w:pPr>
              <w:tabs>
                <w:tab w:val="clear" w:pos="567"/>
              </w:tabs>
              <w:spacing w:line="240" w:lineRule="auto"/>
              <w:jc w:val="center"/>
              <w:rPr>
                <w:rFonts w:asciiTheme="minorHAnsi" w:hAnsiTheme="minorHAnsi" w:cstheme="minorHAnsi"/>
                <w:color w:val="auto"/>
                <w:szCs w:val="22"/>
                <w:lang w:val="en-GB"/>
              </w:rPr>
            </w:pPr>
            <w:r w:rsidRPr="003D4093">
              <w:rPr>
                <w:rFonts w:asciiTheme="minorHAnsi" w:hAnsiTheme="minorHAnsi" w:cstheme="minorHAnsi"/>
                <w:color w:val="auto"/>
                <w:szCs w:val="22"/>
                <w:lang w:val="en-GB"/>
              </w:rPr>
              <w:t>The audit trail is not published as part of the assessment. It is archived for future reference purposes. The assessment in the rows above needs to be written so that it can be read without accessing information in the audit trail.</w:t>
            </w:r>
          </w:p>
        </w:tc>
      </w:tr>
      <w:tr w:rsidR="001A3F8D" w:rsidRPr="003D4093" w14:paraId="16DBDBAD" w14:textId="77777777" w:rsidTr="001E4D6B">
        <w:tc>
          <w:tcPr>
            <w:tcW w:w="1802" w:type="dxa"/>
            <w:gridSpan w:val="2"/>
            <w:hideMark/>
          </w:tcPr>
          <w:p w14:paraId="668F1A2F"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Assessment methods</w:t>
            </w:r>
          </w:p>
          <w:p w14:paraId="1AEC6800"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(additional information, in particular how the overall assessment in the summary table was reached)</w:t>
            </w:r>
          </w:p>
        </w:tc>
        <w:tc>
          <w:tcPr>
            <w:tcW w:w="8008" w:type="dxa"/>
          </w:tcPr>
          <w:p w14:paraId="7A5E8331" w14:textId="77777777" w:rsidR="001A3F8D" w:rsidRPr="003D4093" w:rsidRDefault="001A3F8D" w:rsidP="00E40E80">
            <w:pPr>
              <w:tabs>
                <w:tab w:val="clear" w:pos="567"/>
              </w:tabs>
              <w:spacing w:line="240" w:lineRule="auto"/>
              <w:rPr>
                <w:rFonts w:asciiTheme="minorHAnsi" w:hAnsiTheme="minorHAnsi" w:cstheme="minorHAnsi"/>
                <w:color w:val="FF0000"/>
                <w:szCs w:val="22"/>
                <w:lang w:val="en-GB"/>
              </w:rPr>
            </w:pPr>
            <w:r w:rsidRPr="003D4093">
              <w:rPr>
                <w:rFonts w:asciiTheme="minorHAnsi" w:hAnsiTheme="minorHAnsi" w:cstheme="minorHAnsi"/>
                <w:color w:val="auto"/>
                <w:szCs w:val="22"/>
                <w:lang w:val="en-GB"/>
              </w:rPr>
              <w:t>When data-calls were in agreement with one another, the assessment was straightforward (i.e., decreasing in extent if both regions stated that their extent was decreasing). For condition, a ? was used for Region III. This was because beds in Wales were noted as decreasing in condition, whilst beds in Northern Ireland were noted as increasing. These assessments were based on a small number of beds, with beds in Scotland and potential beds in Ireland not assessed. Following discussions with relevant Contracting Parties, it was concluded that the trend is unknown.</w:t>
            </w:r>
          </w:p>
        </w:tc>
      </w:tr>
      <w:tr w:rsidR="001A3F8D" w:rsidRPr="003D4093" w14:paraId="4DBC5E70" w14:textId="77777777" w:rsidTr="001E4D6B">
        <w:tc>
          <w:tcPr>
            <w:tcW w:w="1802" w:type="dxa"/>
            <w:gridSpan w:val="2"/>
            <w:hideMark/>
          </w:tcPr>
          <w:p w14:paraId="0B872C7B"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Geographical range and distribution (additional evidence &amp; information)</w:t>
            </w:r>
          </w:p>
        </w:tc>
        <w:tc>
          <w:tcPr>
            <w:tcW w:w="8008" w:type="dxa"/>
          </w:tcPr>
          <w:p w14:paraId="5BC219BD"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Assessments were not carried out for Regions I, IV, and V either as assessments had not been carried out by Contracting Parties, or there is no evidence of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in the region.</w:t>
            </w:r>
          </w:p>
          <w:p w14:paraId="40624432"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For Region II, Sweden responded to the data call (Skane and Vasta-</w:t>
            </w:r>
            <w:proofErr w:type="spellStart"/>
            <w:r w:rsidRPr="003D4093">
              <w:rPr>
                <w:rFonts w:asciiTheme="minorHAnsi" w:hAnsiTheme="minorHAnsi" w:cstheme="minorHAnsi"/>
                <w:color w:val="auto"/>
                <w:szCs w:val="22"/>
                <w:lang w:val="en-GB"/>
              </w:rPr>
              <w:t>Gotaland</w:t>
            </w:r>
            <w:proofErr w:type="spellEnd"/>
            <w:r w:rsidRPr="003D4093">
              <w:rPr>
                <w:rFonts w:asciiTheme="minorHAnsi" w:hAnsiTheme="minorHAnsi" w:cstheme="minorHAnsi"/>
                <w:color w:val="auto"/>
                <w:szCs w:val="22"/>
                <w:lang w:val="en-GB"/>
              </w:rPr>
              <w:t xml:space="preserve"> regions). For Vasta-</w:t>
            </w:r>
            <w:proofErr w:type="spellStart"/>
            <w:r w:rsidRPr="003D4093">
              <w:rPr>
                <w:rFonts w:asciiTheme="minorHAnsi" w:hAnsiTheme="minorHAnsi" w:cstheme="minorHAnsi"/>
                <w:color w:val="auto"/>
                <w:szCs w:val="22"/>
                <w:lang w:val="en-GB"/>
              </w:rPr>
              <w:t>Gotaland</w:t>
            </w:r>
            <w:proofErr w:type="spellEnd"/>
            <w:r w:rsidRPr="003D4093">
              <w:rPr>
                <w:rFonts w:asciiTheme="minorHAnsi" w:hAnsiTheme="minorHAnsi" w:cstheme="minorHAnsi"/>
                <w:color w:val="auto"/>
                <w:szCs w:val="22"/>
                <w:lang w:val="en-GB"/>
              </w:rPr>
              <w:t xml:space="preserve">, distribution was noted as decreasing. Skane provided data to the assessment but did not provide information about trends in distribution. Other Contracting Parties did not supply data that could be used in the assessment, either because only individual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had been recorded rather than beds (i.e. Netherlands and England, UK) or no assessment had been carried out in the last 6 years (Scotland, UK).</w:t>
            </w:r>
          </w:p>
          <w:p w14:paraId="14DF1885"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For Region III, the UK and Ireland responded to the data call. For the UK, distribution was noted as stable for both Wales and Northern Ireland. Other Contracting Parties did not supply data that could be used in the assessment, either because only individual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had been recorded (i.e. Ireland) or no assessment had been carried out in the last 6 years (Scotland, UK).</w:t>
            </w:r>
          </w:p>
        </w:tc>
      </w:tr>
      <w:tr w:rsidR="001A3F8D" w:rsidRPr="003D4093" w14:paraId="05AA46A6" w14:textId="77777777" w:rsidTr="001E4D6B">
        <w:tc>
          <w:tcPr>
            <w:tcW w:w="1802" w:type="dxa"/>
            <w:gridSpan w:val="2"/>
            <w:hideMark/>
          </w:tcPr>
          <w:p w14:paraId="4E7FCA66"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Extent</w:t>
            </w:r>
          </w:p>
          <w:p w14:paraId="1784917C"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(additional evidence &amp; information)</w:t>
            </w:r>
          </w:p>
        </w:tc>
        <w:tc>
          <w:tcPr>
            <w:tcW w:w="8008" w:type="dxa"/>
          </w:tcPr>
          <w:p w14:paraId="53CE0123"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Assessments were not carried out for Regions I, IV, and V either as assessments had not been carried out by Contracting Parties, or there is no evidence of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in the region.</w:t>
            </w:r>
          </w:p>
          <w:p w14:paraId="210E734F"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For Region II, Sweden responded to the data call (Skane and Vasta-</w:t>
            </w:r>
            <w:proofErr w:type="spellStart"/>
            <w:r w:rsidRPr="003D4093">
              <w:rPr>
                <w:rFonts w:asciiTheme="minorHAnsi" w:hAnsiTheme="minorHAnsi" w:cstheme="minorHAnsi"/>
                <w:color w:val="auto"/>
                <w:szCs w:val="22"/>
                <w:lang w:val="en-GB"/>
              </w:rPr>
              <w:t>Gotaland</w:t>
            </w:r>
            <w:proofErr w:type="spellEnd"/>
            <w:r w:rsidRPr="003D4093">
              <w:rPr>
                <w:rFonts w:asciiTheme="minorHAnsi" w:hAnsiTheme="minorHAnsi" w:cstheme="minorHAnsi"/>
                <w:color w:val="auto"/>
                <w:szCs w:val="22"/>
                <w:lang w:val="en-GB"/>
              </w:rPr>
              <w:t xml:space="preserve"> regions). For Vasta-</w:t>
            </w:r>
            <w:proofErr w:type="spellStart"/>
            <w:r w:rsidRPr="003D4093">
              <w:rPr>
                <w:rFonts w:asciiTheme="minorHAnsi" w:hAnsiTheme="minorHAnsi" w:cstheme="minorHAnsi"/>
                <w:color w:val="auto"/>
                <w:szCs w:val="22"/>
                <w:lang w:val="en-GB"/>
              </w:rPr>
              <w:t>Gotaland</w:t>
            </w:r>
            <w:proofErr w:type="spellEnd"/>
            <w:r w:rsidRPr="003D4093">
              <w:rPr>
                <w:rFonts w:asciiTheme="minorHAnsi" w:hAnsiTheme="minorHAnsi" w:cstheme="minorHAnsi"/>
                <w:color w:val="auto"/>
                <w:szCs w:val="22"/>
                <w:lang w:val="en-GB"/>
              </w:rPr>
              <w:t xml:space="preserve">, extent was noted as decreasing. Skane provided data to the assessment but did not provide information about trends in extent. Other Contracting Parties did not supply data that could be used in the assessment, either because only individual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had been recorded (i.e. Netherlands and England, UK) or no assessment had been carried out in the last 6 years (Scotland, UK).</w:t>
            </w:r>
          </w:p>
          <w:p w14:paraId="426A5E23"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For Region III, the UK and Ireland responded to the data call. For the UK, extent was noted as stable decreasing in Wales, and unknown for Northern Ireland. Other Contracting Parties did not supply data that could be used in the assessment, either because only individual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had been recorded (i.e. Ireland) or no assessment had been carried out in the last 6 years (Scotland, UK).</w:t>
            </w:r>
          </w:p>
        </w:tc>
      </w:tr>
      <w:tr w:rsidR="001A3F8D" w:rsidRPr="003D4093" w14:paraId="12604EE4" w14:textId="77777777" w:rsidTr="001E4D6B">
        <w:tc>
          <w:tcPr>
            <w:tcW w:w="1802" w:type="dxa"/>
            <w:gridSpan w:val="2"/>
            <w:hideMark/>
          </w:tcPr>
          <w:p w14:paraId="7065114A"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Condition </w:t>
            </w:r>
          </w:p>
          <w:p w14:paraId="70552C8E"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(additional evidence &amp; information)</w:t>
            </w:r>
          </w:p>
        </w:tc>
        <w:tc>
          <w:tcPr>
            <w:tcW w:w="8008" w:type="dxa"/>
          </w:tcPr>
          <w:p w14:paraId="0E9B3A5A"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Assessments were not carried out for Regions I, IV, and V either as assessments had not been carried out by Contracting Parties, or there is no evidence of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in the region.</w:t>
            </w:r>
          </w:p>
          <w:p w14:paraId="741A3E6C"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For Region II, Sweden responded to the data call (Skane and Vasta-</w:t>
            </w:r>
            <w:proofErr w:type="spellStart"/>
            <w:r w:rsidRPr="003D4093">
              <w:rPr>
                <w:rFonts w:asciiTheme="minorHAnsi" w:hAnsiTheme="minorHAnsi" w:cstheme="minorHAnsi"/>
                <w:color w:val="auto"/>
                <w:szCs w:val="22"/>
                <w:lang w:val="en-GB"/>
              </w:rPr>
              <w:t>Gotaland</w:t>
            </w:r>
            <w:proofErr w:type="spellEnd"/>
            <w:r w:rsidRPr="003D4093">
              <w:rPr>
                <w:rFonts w:asciiTheme="minorHAnsi" w:hAnsiTheme="minorHAnsi" w:cstheme="minorHAnsi"/>
                <w:color w:val="auto"/>
                <w:szCs w:val="22"/>
                <w:lang w:val="en-GB"/>
              </w:rPr>
              <w:t xml:space="preserve"> regions). For both regions condition was noted as poor, decreasing. Other Contracting Parties did not supply data that could be used in the assessment, either because only individual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had been recorded (i.e. Netherlands and England, UK) or no assessment had been carried out in the last 6 years (Scotland, UK).</w:t>
            </w:r>
          </w:p>
          <w:p w14:paraId="2DD9AA20"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For Region III, the UK and Ireland responded to the data call. For the UK, condition was noted as poor for both Wales and Northern Ireland. Condition was increasing in Northern Ireland and decreasing in Wales. Other Contracting Parties did not supply data that could be used in the assessment, either because only individual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had been recorded (i.e. Ireland) or no assessment had been carried out in the last 6 years (Scotland, UK).</w:t>
            </w:r>
          </w:p>
        </w:tc>
      </w:tr>
      <w:tr w:rsidR="001A3F8D" w:rsidRPr="003D4093" w14:paraId="737368DB" w14:textId="77777777" w:rsidTr="001E4D6B">
        <w:tc>
          <w:tcPr>
            <w:tcW w:w="1802" w:type="dxa"/>
            <w:gridSpan w:val="2"/>
            <w:hideMark/>
          </w:tcPr>
          <w:p w14:paraId="13BF3C53"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Threats and impacts</w:t>
            </w:r>
          </w:p>
          <w:p w14:paraId="2A79F82C"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(additional evidence &amp; information)</w:t>
            </w:r>
          </w:p>
        </w:tc>
        <w:tc>
          <w:tcPr>
            <w:tcW w:w="8008" w:type="dxa"/>
          </w:tcPr>
          <w:p w14:paraId="2432766B"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Terminology for pressures were taken from the OSPAR and MSFD pressures list.</w:t>
            </w:r>
            <w:r w:rsidRPr="003D4093">
              <w:rPr>
                <w:rFonts w:asciiTheme="minorHAnsi" w:hAnsiTheme="minorHAnsi" w:cstheme="minorHAnsi"/>
                <w:color w:val="auto"/>
                <w:sz w:val="24"/>
                <w:lang w:val="en-GB"/>
              </w:rPr>
              <w:t xml:space="preserve"> </w:t>
            </w:r>
            <w:r w:rsidRPr="003D4093">
              <w:rPr>
                <w:rFonts w:asciiTheme="minorHAnsi" w:hAnsiTheme="minorHAnsi" w:cstheme="minorHAnsi"/>
                <w:color w:val="auto"/>
                <w:szCs w:val="22"/>
                <w:lang w:val="en-GB"/>
              </w:rPr>
              <w:t xml:space="preserve">JNCC PAD was used to align the pressures with the activities: </w:t>
            </w:r>
            <w:hyperlink r:id="rId20" w:history="1">
              <w:r w:rsidRPr="003D4093">
                <w:rPr>
                  <w:rFonts w:asciiTheme="minorHAnsi" w:hAnsiTheme="minorHAnsi" w:cstheme="minorHAnsi"/>
                  <w:color w:val="0000FF"/>
                  <w:szCs w:val="22"/>
                  <w:u w:val="single"/>
                  <w:lang w:val="en-GB"/>
                </w:rPr>
                <w:t>https://hub.jncc.gov.uk/assets/1e136107-1396-4c67-b755-dc9f43bf3bb1</w:t>
              </w:r>
            </w:hyperlink>
            <w:r w:rsidRPr="003D4093">
              <w:rPr>
                <w:rFonts w:asciiTheme="minorHAnsi" w:hAnsiTheme="minorHAnsi" w:cstheme="minorHAnsi"/>
                <w:color w:val="auto"/>
                <w:szCs w:val="22"/>
                <w:lang w:val="en-GB"/>
              </w:rPr>
              <w:t xml:space="preserve"> </w:t>
            </w:r>
          </w:p>
          <w:p w14:paraId="3EF5B6D2"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OSPAR Feeder reports were used to assess the trends in the activities. Trends in activities were used to assess trends in pressures, along with expert knowledge. Other activities known to impact </w:t>
            </w:r>
            <w:r w:rsidRPr="003D4093">
              <w:rPr>
                <w:rFonts w:asciiTheme="minorHAnsi" w:hAnsiTheme="minorHAnsi" w:cstheme="minorHAnsi"/>
                <w:i/>
                <w:iCs/>
                <w:color w:val="auto"/>
                <w:szCs w:val="22"/>
                <w:lang w:val="en-GB"/>
              </w:rPr>
              <w:t>M. modiolus</w:t>
            </w:r>
            <w:r w:rsidRPr="003D4093">
              <w:rPr>
                <w:rFonts w:asciiTheme="minorHAnsi" w:hAnsiTheme="minorHAnsi" w:cstheme="minorHAnsi"/>
                <w:color w:val="auto"/>
                <w:szCs w:val="22"/>
                <w:lang w:val="en-GB"/>
              </w:rPr>
              <w:t xml:space="preserve"> beds were also included.</w:t>
            </w:r>
          </w:p>
        </w:tc>
      </w:tr>
      <w:tr w:rsidR="001A3F8D" w:rsidRPr="003D4093" w14:paraId="6BA4EFBC" w14:textId="77777777" w:rsidTr="001E4D6B">
        <w:tc>
          <w:tcPr>
            <w:tcW w:w="1802" w:type="dxa"/>
            <w:gridSpan w:val="2"/>
            <w:hideMark/>
          </w:tcPr>
          <w:p w14:paraId="2D8AA035"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Measures that address key pressures from human activities or conserve the species/habitat</w:t>
            </w:r>
          </w:p>
          <w:p w14:paraId="3A30D477"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(additional information)</w:t>
            </w:r>
          </w:p>
        </w:tc>
        <w:tc>
          <w:tcPr>
            <w:tcW w:w="8008" w:type="dxa"/>
          </w:tcPr>
          <w:p w14:paraId="7E53B072" w14:textId="77777777" w:rsidR="001A3F8D" w:rsidRPr="003D4093" w:rsidRDefault="001A3F8D" w:rsidP="00E40E80">
            <w:pPr>
              <w:shd w:val="clear" w:color="auto" w:fill="FFFFFF"/>
              <w:tabs>
                <w:tab w:val="clear" w:pos="567"/>
              </w:tabs>
              <w:spacing w:after="150" w:line="240" w:lineRule="auto"/>
              <w:jc w:val="left"/>
              <w:rPr>
                <w:rFonts w:asciiTheme="minorHAnsi" w:hAnsiTheme="minorHAnsi" w:cstheme="minorHAnsi"/>
                <w:color w:val="auto"/>
                <w:szCs w:val="22"/>
                <w:lang w:val="en-GB"/>
              </w:rPr>
            </w:pPr>
            <w:r w:rsidRPr="003D4093">
              <w:rPr>
                <w:rFonts w:asciiTheme="minorHAnsi" w:hAnsiTheme="minorHAnsi" w:cstheme="minorHAnsi"/>
                <w:color w:val="auto"/>
                <w:szCs w:val="22"/>
                <w:lang w:val="en-GB"/>
              </w:rPr>
              <w:t>Measures that address key pressures from human activities, or conserve the habitat, were provided by Contracting Parties.</w:t>
            </w:r>
          </w:p>
        </w:tc>
      </w:tr>
      <w:tr w:rsidR="001A3F8D" w:rsidRPr="003D4093" w14:paraId="1141963E" w14:textId="77777777" w:rsidTr="001E4D6B">
        <w:tc>
          <w:tcPr>
            <w:tcW w:w="1802" w:type="dxa"/>
            <w:gridSpan w:val="2"/>
            <w:hideMark/>
          </w:tcPr>
          <w:p w14:paraId="318DF5E9"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Knowledge gaps (additional information)</w:t>
            </w:r>
          </w:p>
        </w:tc>
        <w:tc>
          <w:tcPr>
            <w:tcW w:w="8008" w:type="dxa"/>
          </w:tcPr>
          <w:p w14:paraId="2E1FB3CD"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This section was primarily focused </w:t>
            </w:r>
            <w:proofErr w:type="gramStart"/>
            <w:r w:rsidRPr="003D4093">
              <w:rPr>
                <w:rFonts w:asciiTheme="minorHAnsi" w:hAnsiTheme="minorHAnsi" w:cstheme="minorHAnsi"/>
                <w:color w:val="auto"/>
                <w:szCs w:val="22"/>
                <w:lang w:val="en-GB"/>
              </w:rPr>
              <w:t>around</w:t>
            </w:r>
            <w:proofErr w:type="gramEnd"/>
            <w:r w:rsidRPr="003D4093">
              <w:rPr>
                <w:rFonts w:asciiTheme="minorHAnsi" w:hAnsiTheme="minorHAnsi" w:cstheme="minorHAnsi"/>
                <w:color w:val="auto"/>
                <w:szCs w:val="22"/>
                <w:lang w:val="en-GB"/>
              </w:rPr>
              <w:t xml:space="preserve"> the lack of data and assessments by Contracting Parties in the OSPAR regions. Recommendations were included in this section following useful discussion by experts when carrying out the assessment.</w:t>
            </w:r>
          </w:p>
        </w:tc>
      </w:tr>
      <w:tr w:rsidR="001A3F8D" w:rsidRPr="003D4093" w14:paraId="01F2E1DA" w14:textId="77777777" w:rsidTr="001E4D6B">
        <w:tc>
          <w:tcPr>
            <w:tcW w:w="1802" w:type="dxa"/>
            <w:gridSpan w:val="2"/>
            <w:hideMark/>
          </w:tcPr>
          <w:p w14:paraId="1C2D890A"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r w:rsidRPr="003D4093">
              <w:rPr>
                <w:rFonts w:asciiTheme="minorHAnsi" w:hAnsiTheme="minorHAnsi" w:cstheme="minorHAnsi"/>
                <w:color w:val="auto"/>
                <w:szCs w:val="22"/>
                <w:lang w:val="en-GB"/>
              </w:rPr>
              <w:t xml:space="preserve">References </w:t>
            </w:r>
          </w:p>
        </w:tc>
        <w:tc>
          <w:tcPr>
            <w:tcW w:w="8008" w:type="dxa"/>
          </w:tcPr>
          <w:p w14:paraId="19EF072C" w14:textId="77777777" w:rsidR="001A3F8D" w:rsidRPr="003D4093" w:rsidRDefault="001A3F8D" w:rsidP="00E40E80">
            <w:pPr>
              <w:tabs>
                <w:tab w:val="clear" w:pos="567"/>
              </w:tabs>
              <w:spacing w:line="240" w:lineRule="auto"/>
              <w:rPr>
                <w:rFonts w:asciiTheme="minorHAnsi" w:hAnsiTheme="minorHAnsi" w:cstheme="minorHAnsi"/>
                <w:color w:val="auto"/>
                <w:szCs w:val="22"/>
                <w:lang w:val="en-GB"/>
              </w:rPr>
            </w:pPr>
          </w:p>
        </w:tc>
      </w:tr>
    </w:tbl>
    <w:p w14:paraId="31C2F118" w14:textId="77777777" w:rsidR="001A3F8D" w:rsidRPr="00BF25F4" w:rsidRDefault="001A3F8D" w:rsidP="00101C11">
      <w:pPr>
        <w:tabs>
          <w:tab w:val="clear" w:pos="567"/>
          <w:tab w:val="left" w:pos="3255"/>
        </w:tabs>
        <w:rPr>
          <w:rFonts w:asciiTheme="minorHAnsi" w:eastAsiaTheme="minorHAnsi" w:hAnsiTheme="minorHAnsi" w:cstheme="minorHAnsi"/>
          <w:szCs w:val="22"/>
        </w:rPr>
      </w:pPr>
    </w:p>
    <w:sectPr w:rsidR="001A3F8D" w:rsidRPr="00BF25F4" w:rsidSect="00A63D48">
      <w:pgSz w:w="11906" w:h="16838"/>
      <w:pgMar w:top="1134" w:right="1134" w:bottom="1134" w:left="1134" w:header="0" w:footer="83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B8287" w14:textId="77777777" w:rsidR="00A3238F" w:rsidRPr="003D4093" w:rsidRDefault="00A3238F">
      <w:pPr>
        <w:spacing w:after="0" w:line="240" w:lineRule="auto"/>
      </w:pPr>
      <w:r w:rsidRPr="003D4093">
        <w:separator/>
      </w:r>
    </w:p>
  </w:endnote>
  <w:endnote w:type="continuationSeparator" w:id="0">
    <w:p w14:paraId="374DAEC1" w14:textId="77777777" w:rsidR="00A3238F" w:rsidRPr="003D4093" w:rsidRDefault="00A3238F">
      <w:pPr>
        <w:spacing w:after="0" w:line="240" w:lineRule="auto"/>
      </w:pPr>
      <w:r w:rsidRPr="003D409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0D889" w14:textId="77777777" w:rsidR="00B33D64" w:rsidRPr="003D4093" w:rsidRDefault="00B33D64">
    <w:pPr>
      <w:pStyle w:val="Footer"/>
    </w:pPr>
  </w:p>
  <w:p w14:paraId="72A4C1DB" w14:textId="77777777" w:rsidR="002D4ABF" w:rsidRPr="003D4093" w:rsidRDefault="002D4ABF"/>
  <w:p w14:paraId="57565878" w14:textId="77777777" w:rsidR="002D4ABF" w:rsidRPr="003D4093" w:rsidRDefault="002D4AB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050124"/>
      <w:docPartObj>
        <w:docPartGallery w:val="Page Numbers (Bottom of Page)"/>
        <w:docPartUnique/>
      </w:docPartObj>
    </w:sdtPr>
    <w:sdtEndPr/>
    <w:sdtContent>
      <w:sdt>
        <w:sdtPr>
          <w:id w:val="-1769616900"/>
          <w:docPartObj>
            <w:docPartGallery w:val="Page Numbers (Top of Page)"/>
            <w:docPartUnique/>
          </w:docPartObj>
        </w:sdtPr>
        <w:sdtEndPr/>
        <w:sdtContent>
          <w:p w14:paraId="0FADFCD1" w14:textId="061E8E6B" w:rsidR="00101C11" w:rsidRPr="003D4093" w:rsidRDefault="00101C11">
            <w:pPr>
              <w:pStyle w:val="Footer"/>
              <w:jc w:val="right"/>
            </w:pPr>
            <w:r w:rsidRPr="003D4093">
              <w:rPr>
                <w:sz w:val="24"/>
                <w:szCs w:val="24"/>
              </w:rPr>
              <w:fldChar w:fldCharType="begin"/>
            </w:r>
            <w:r w:rsidRPr="003D4093">
              <w:instrText xml:space="preserve"> PAGE </w:instrText>
            </w:r>
            <w:r w:rsidRPr="003D4093">
              <w:rPr>
                <w:sz w:val="24"/>
                <w:szCs w:val="24"/>
              </w:rPr>
              <w:fldChar w:fldCharType="separate"/>
            </w:r>
            <w:r w:rsidRPr="003D4093">
              <w:t>2</w:t>
            </w:r>
            <w:r w:rsidRPr="003D4093">
              <w:rPr>
                <w:sz w:val="24"/>
                <w:szCs w:val="24"/>
              </w:rPr>
              <w:fldChar w:fldCharType="end"/>
            </w:r>
            <w:r w:rsidRPr="003D4093">
              <w:t xml:space="preserve"> of </w:t>
            </w:r>
            <w:fldSimple w:instr=" NUMPAGES  ">
              <w:r w:rsidRPr="003D4093">
                <w:t>2</w:t>
              </w:r>
            </w:fldSimple>
          </w:p>
        </w:sdtContent>
      </w:sdt>
    </w:sdtContent>
  </w:sdt>
  <w:p w14:paraId="06FE2FA1" w14:textId="3779CFB7" w:rsidR="002D700B" w:rsidRPr="003D4093" w:rsidRDefault="00101C11" w:rsidP="003B70B7">
    <w:pPr>
      <w:pBdr>
        <w:top w:val="single" w:sz="4" w:space="1" w:color="auto"/>
      </w:pBdr>
      <w:tabs>
        <w:tab w:val="clear" w:pos="567"/>
        <w:tab w:val="center" w:pos="4820"/>
        <w:tab w:val="right" w:pos="9639"/>
      </w:tabs>
      <w:spacing w:before="60"/>
      <w:rPr>
        <w:sz w:val="20"/>
      </w:rPr>
    </w:pPr>
    <w:r w:rsidRPr="003D4093">
      <w:rPr>
        <w:sz w:val="20"/>
      </w:rPr>
      <w:t>OSPAR Commission</w:t>
    </w:r>
    <w:r w:rsidRPr="003D4093">
      <w:rPr>
        <w:sz w:val="20"/>
      </w:rPr>
      <w:tab/>
    </w:r>
    <w:r w:rsidRPr="003D4093">
      <w:rPr>
        <w:sz w:val="20"/>
      </w:rPr>
      <w:tab/>
    </w:r>
  </w:p>
  <w:p w14:paraId="3EEF9F9E" w14:textId="77777777" w:rsidR="002D4ABF" w:rsidRPr="003D4093" w:rsidRDefault="002D4ABF"/>
  <w:p w14:paraId="2A68B93A" w14:textId="77777777" w:rsidR="002D4ABF" w:rsidRPr="003D4093" w:rsidRDefault="002D4A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74C2E" w14:textId="77777777" w:rsidR="00A3238F" w:rsidRPr="003D4093" w:rsidRDefault="00A3238F">
      <w:r w:rsidRPr="003D4093">
        <w:separator/>
      </w:r>
    </w:p>
  </w:footnote>
  <w:footnote w:type="continuationSeparator" w:id="0">
    <w:p w14:paraId="120512BC" w14:textId="77777777" w:rsidR="00A3238F" w:rsidRPr="003D4093" w:rsidRDefault="00A3238F">
      <w:r w:rsidRPr="003D409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5F85E" w14:textId="77777777" w:rsidR="00B33D64" w:rsidRPr="003D4093" w:rsidRDefault="00B33D64">
    <w:pPr>
      <w:pStyle w:val="Header"/>
    </w:pPr>
  </w:p>
  <w:p w14:paraId="612FF71F" w14:textId="77777777" w:rsidR="002D4ABF" w:rsidRPr="003D4093" w:rsidRDefault="002D4ABF"/>
  <w:p w14:paraId="100638F1" w14:textId="77777777" w:rsidR="002D4ABF" w:rsidRPr="003D4093" w:rsidRDefault="002D4A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85417" w14:textId="77777777" w:rsidR="00B33D64" w:rsidRPr="003D4093" w:rsidRDefault="00B33D64">
    <w:pPr>
      <w:pStyle w:val="Header"/>
    </w:pPr>
  </w:p>
  <w:p w14:paraId="7B7C1B62" w14:textId="77777777" w:rsidR="002D4ABF" w:rsidRPr="003D4093" w:rsidRDefault="002D4ABF"/>
  <w:p w14:paraId="3934DA84" w14:textId="77777777" w:rsidR="002D4ABF" w:rsidRPr="003D4093" w:rsidRDefault="002D4A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52BD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4E7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522E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2F66E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580F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DC6E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FC83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9A84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586894"/>
    <w:lvl w:ilvl="0">
      <w:start w:val="1"/>
      <w:numFmt w:val="decimal"/>
      <w:lvlText w:val="%1."/>
      <w:lvlJc w:val="left"/>
      <w:pPr>
        <w:tabs>
          <w:tab w:val="num" w:pos="360"/>
        </w:tabs>
        <w:ind w:left="360" w:hanging="360"/>
      </w:pPr>
    </w:lvl>
  </w:abstractNum>
  <w:abstractNum w:abstractNumId="9" w15:restartNumberingAfterBreak="0">
    <w:nsid w:val="017502E6"/>
    <w:multiLevelType w:val="multilevel"/>
    <w:tmpl w:val="B96AB0A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04655417"/>
    <w:multiLevelType w:val="hybridMultilevel"/>
    <w:tmpl w:val="5DA4C1AC"/>
    <w:lvl w:ilvl="0" w:tplc="19788CB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184D21"/>
    <w:multiLevelType w:val="hybridMultilevel"/>
    <w:tmpl w:val="54B62D4A"/>
    <w:lvl w:ilvl="0" w:tplc="19788CB6">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503F0"/>
    <w:multiLevelType w:val="hybridMultilevel"/>
    <w:tmpl w:val="5ABA0BF4"/>
    <w:lvl w:ilvl="0" w:tplc="E6667134">
      <w:start w:val="1"/>
      <w:numFmt w:val="lowerRoman"/>
      <w:lvlText w:val="%1."/>
      <w:lvlJc w:val="right"/>
      <w:pPr>
        <w:ind w:left="720" w:hanging="360"/>
      </w:pPr>
    </w:lvl>
    <w:lvl w:ilvl="1" w:tplc="30A6DBB8">
      <w:start w:val="1"/>
      <w:numFmt w:val="lowerLetter"/>
      <w:lvlText w:val="%2."/>
      <w:lvlJc w:val="left"/>
      <w:pPr>
        <w:ind w:left="1440" w:hanging="360"/>
      </w:pPr>
    </w:lvl>
    <w:lvl w:ilvl="2" w:tplc="D8B4F218">
      <w:start w:val="1"/>
      <w:numFmt w:val="lowerRoman"/>
      <w:lvlText w:val="%3."/>
      <w:lvlJc w:val="right"/>
      <w:pPr>
        <w:ind w:left="2160" w:hanging="180"/>
      </w:pPr>
    </w:lvl>
    <w:lvl w:ilvl="3" w:tplc="09D6DA6C">
      <w:start w:val="1"/>
      <w:numFmt w:val="decimal"/>
      <w:lvlText w:val="%4."/>
      <w:lvlJc w:val="left"/>
      <w:pPr>
        <w:ind w:left="2880" w:hanging="360"/>
      </w:pPr>
    </w:lvl>
    <w:lvl w:ilvl="4" w:tplc="0DFA90EA">
      <w:start w:val="1"/>
      <w:numFmt w:val="lowerLetter"/>
      <w:lvlText w:val="%5."/>
      <w:lvlJc w:val="left"/>
      <w:pPr>
        <w:ind w:left="3600" w:hanging="360"/>
      </w:pPr>
    </w:lvl>
    <w:lvl w:ilvl="5" w:tplc="E81ABAE4">
      <w:start w:val="1"/>
      <w:numFmt w:val="lowerRoman"/>
      <w:lvlText w:val="%6."/>
      <w:lvlJc w:val="right"/>
      <w:pPr>
        <w:ind w:left="4320" w:hanging="180"/>
      </w:pPr>
    </w:lvl>
    <w:lvl w:ilvl="6" w:tplc="5CC2F626">
      <w:start w:val="1"/>
      <w:numFmt w:val="decimal"/>
      <w:lvlText w:val="%7."/>
      <w:lvlJc w:val="left"/>
      <w:pPr>
        <w:ind w:left="5040" w:hanging="360"/>
      </w:pPr>
    </w:lvl>
    <w:lvl w:ilvl="7" w:tplc="BD364560">
      <w:start w:val="1"/>
      <w:numFmt w:val="lowerLetter"/>
      <w:lvlText w:val="%8."/>
      <w:lvlJc w:val="left"/>
      <w:pPr>
        <w:ind w:left="5760" w:hanging="360"/>
      </w:pPr>
    </w:lvl>
    <w:lvl w:ilvl="8" w:tplc="DD50D364">
      <w:start w:val="1"/>
      <w:numFmt w:val="lowerRoman"/>
      <w:lvlText w:val="%9."/>
      <w:lvlJc w:val="right"/>
      <w:pPr>
        <w:ind w:left="6480" w:hanging="180"/>
      </w:pPr>
    </w:lvl>
  </w:abstractNum>
  <w:abstractNum w:abstractNumId="13" w15:restartNumberingAfterBreak="0">
    <w:nsid w:val="1C4A6B8A"/>
    <w:multiLevelType w:val="multilevel"/>
    <w:tmpl w:val="A2B442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E792F93"/>
    <w:multiLevelType w:val="hybridMultilevel"/>
    <w:tmpl w:val="8E6EB4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0E76E13"/>
    <w:multiLevelType w:val="hybridMultilevel"/>
    <w:tmpl w:val="4FFA87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2195B53"/>
    <w:multiLevelType w:val="hybridMultilevel"/>
    <w:tmpl w:val="711CB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8D1A3C"/>
    <w:multiLevelType w:val="hybridMultilevel"/>
    <w:tmpl w:val="2BA6F31A"/>
    <w:lvl w:ilvl="0" w:tplc="D9E240E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2CC67C1"/>
    <w:multiLevelType w:val="hybridMultilevel"/>
    <w:tmpl w:val="4B4AC4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68F4981"/>
    <w:multiLevelType w:val="hybridMultilevel"/>
    <w:tmpl w:val="496AF3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9A3AEB"/>
    <w:multiLevelType w:val="hybridMultilevel"/>
    <w:tmpl w:val="F9746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C502BF"/>
    <w:multiLevelType w:val="hybridMultilevel"/>
    <w:tmpl w:val="00E6C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600B2B"/>
    <w:multiLevelType w:val="multilevel"/>
    <w:tmpl w:val="6DACD8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2225ADA"/>
    <w:multiLevelType w:val="hybridMultilevel"/>
    <w:tmpl w:val="666CA75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624053"/>
    <w:multiLevelType w:val="hybridMultilevel"/>
    <w:tmpl w:val="08422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C012C6"/>
    <w:multiLevelType w:val="hybridMultilevel"/>
    <w:tmpl w:val="DE3EA31A"/>
    <w:lvl w:ilvl="0" w:tplc="19788CB6">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326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0A413B"/>
    <w:multiLevelType w:val="hybridMultilevel"/>
    <w:tmpl w:val="487E6466"/>
    <w:lvl w:ilvl="0" w:tplc="0409000F">
      <w:start w:val="1"/>
      <w:numFmt w:val="decimal"/>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8" w15:restartNumberingAfterBreak="0">
    <w:nsid w:val="5BCA2FD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F6747F2"/>
    <w:multiLevelType w:val="hybridMultilevel"/>
    <w:tmpl w:val="1160D084"/>
    <w:lvl w:ilvl="0" w:tplc="0D107C44">
      <w:start w:val="1"/>
      <w:numFmt w:val="bullet"/>
      <w:pStyle w:val="ListBulletStyle"/>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F15B2B"/>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64846027"/>
    <w:multiLevelType w:val="hybridMultilevel"/>
    <w:tmpl w:val="0B02B8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0A65B3"/>
    <w:multiLevelType w:val="multilevel"/>
    <w:tmpl w:val="90708F3A"/>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690A6224"/>
    <w:multiLevelType w:val="hybridMultilevel"/>
    <w:tmpl w:val="71822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396FC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9A244BA"/>
    <w:multiLevelType w:val="hybridMultilevel"/>
    <w:tmpl w:val="D494E2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2D4EB4"/>
    <w:multiLevelType w:val="hybridMultilevel"/>
    <w:tmpl w:val="4858E202"/>
    <w:lvl w:ilvl="0" w:tplc="19788CB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B83DD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FAF3C1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8034214">
    <w:abstractNumId w:val="32"/>
  </w:num>
  <w:num w:numId="2" w16cid:durableId="1994942126">
    <w:abstractNumId w:val="13"/>
  </w:num>
  <w:num w:numId="3" w16cid:durableId="1449935391">
    <w:abstractNumId w:val="9"/>
  </w:num>
  <w:num w:numId="4" w16cid:durableId="1267425493">
    <w:abstractNumId w:val="19"/>
  </w:num>
  <w:num w:numId="5" w16cid:durableId="346561198">
    <w:abstractNumId w:val="15"/>
  </w:num>
  <w:num w:numId="6" w16cid:durableId="904412019">
    <w:abstractNumId w:val="33"/>
  </w:num>
  <w:num w:numId="7" w16cid:durableId="1293099006">
    <w:abstractNumId w:val="31"/>
  </w:num>
  <w:num w:numId="8" w16cid:durableId="334577686">
    <w:abstractNumId w:val="21"/>
  </w:num>
  <w:num w:numId="9" w16cid:durableId="88084345">
    <w:abstractNumId w:val="38"/>
  </w:num>
  <w:num w:numId="10" w16cid:durableId="472020140">
    <w:abstractNumId w:val="37"/>
  </w:num>
  <w:num w:numId="11" w16cid:durableId="1808086827">
    <w:abstractNumId w:val="28"/>
  </w:num>
  <w:num w:numId="12" w16cid:durableId="1854417800">
    <w:abstractNumId w:val="34"/>
  </w:num>
  <w:num w:numId="13" w16cid:durableId="774255779">
    <w:abstractNumId w:val="26"/>
  </w:num>
  <w:num w:numId="14" w16cid:durableId="427234080">
    <w:abstractNumId w:val="22"/>
  </w:num>
  <w:num w:numId="15" w16cid:durableId="1562444465">
    <w:abstractNumId w:val="30"/>
  </w:num>
  <w:num w:numId="16" w16cid:durableId="1716349324">
    <w:abstractNumId w:val="29"/>
  </w:num>
  <w:num w:numId="17" w16cid:durableId="132869158">
    <w:abstractNumId w:val="8"/>
  </w:num>
  <w:num w:numId="18" w16cid:durableId="995763026">
    <w:abstractNumId w:val="7"/>
  </w:num>
  <w:num w:numId="19" w16cid:durableId="232667023">
    <w:abstractNumId w:val="6"/>
  </w:num>
  <w:num w:numId="20" w16cid:durableId="1304695048">
    <w:abstractNumId w:val="5"/>
  </w:num>
  <w:num w:numId="21" w16cid:durableId="445394533">
    <w:abstractNumId w:val="4"/>
  </w:num>
  <w:num w:numId="22" w16cid:durableId="1405180007">
    <w:abstractNumId w:val="3"/>
  </w:num>
  <w:num w:numId="23" w16cid:durableId="1343315843">
    <w:abstractNumId w:val="2"/>
  </w:num>
  <w:num w:numId="24" w16cid:durableId="1522354579">
    <w:abstractNumId w:val="1"/>
  </w:num>
  <w:num w:numId="25" w16cid:durableId="1492870509">
    <w:abstractNumId w:val="0"/>
  </w:num>
  <w:num w:numId="26" w16cid:durableId="1500388604">
    <w:abstractNumId w:val="12"/>
  </w:num>
  <w:num w:numId="27" w16cid:durableId="1285887241">
    <w:abstractNumId w:val="24"/>
  </w:num>
  <w:num w:numId="28" w16cid:durableId="1358847152">
    <w:abstractNumId w:val="11"/>
  </w:num>
  <w:num w:numId="29" w16cid:durableId="1424491180">
    <w:abstractNumId w:val="17"/>
  </w:num>
  <w:num w:numId="30" w16cid:durableId="1533301556">
    <w:abstractNumId w:val="36"/>
  </w:num>
  <w:num w:numId="31" w16cid:durableId="1914470156">
    <w:abstractNumId w:val="10"/>
  </w:num>
  <w:num w:numId="32" w16cid:durableId="1342783319">
    <w:abstractNumId w:val="27"/>
  </w:num>
  <w:num w:numId="33" w16cid:durableId="511578194">
    <w:abstractNumId w:val="25"/>
  </w:num>
  <w:num w:numId="34" w16cid:durableId="9307888">
    <w:abstractNumId w:val="18"/>
  </w:num>
  <w:num w:numId="35" w16cid:durableId="2046522851">
    <w:abstractNumId w:val="35"/>
  </w:num>
  <w:num w:numId="36" w16cid:durableId="1466311149">
    <w:abstractNumId w:val="23"/>
  </w:num>
  <w:num w:numId="37" w16cid:durableId="1889487194">
    <w:abstractNumId w:val="20"/>
  </w:num>
  <w:num w:numId="38" w16cid:durableId="1827889786">
    <w:abstractNumId w:val="14"/>
  </w:num>
  <w:num w:numId="39" w16cid:durableId="82459158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00B"/>
    <w:rsid w:val="0000735E"/>
    <w:rsid w:val="000403A5"/>
    <w:rsid w:val="000A64B8"/>
    <w:rsid w:val="000D27C8"/>
    <w:rsid w:val="000D2F54"/>
    <w:rsid w:val="000D428F"/>
    <w:rsid w:val="000E5E10"/>
    <w:rsid w:val="00101C11"/>
    <w:rsid w:val="001816CD"/>
    <w:rsid w:val="00195ADE"/>
    <w:rsid w:val="001A25A9"/>
    <w:rsid w:val="001A3F8D"/>
    <w:rsid w:val="001E4D6B"/>
    <w:rsid w:val="001F55B2"/>
    <w:rsid w:val="00205663"/>
    <w:rsid w:val="002145C1"/>
    <w:rsid w:val="0026017E"/>
    <w:rsid w:val="00262FEF"/>
    <w:rsid w:val="002634A1"/>
    <w:rsid w:val="00291006"/>
    <w:rsid w:val="00291D0D"/>
    <w:rsid w:val="00292471"/>
    <w:rsid w:val="002B04F2"/>
    <w:rsid w:val="002B18E4"/>
    <w:rsid w:val="002B296F"/>
    <w:rsid w:val="002D4ABF"/>
    <w:rsid w:val="002D700B"/>
    <w:rsid w:val="002F7928"/>
    <w:rsid w:val="00301A40"/>
    <w:rsid w:val="003318A0"/>
    <w:rsid w:val="003636DD"/>
    <w:rsid w:val="003B6410"/>
    <w:rsid w:val="003B70B7"/>
    <w:rsid w:val="003D4093"/>
    <w:rsid w:val="00446C54"/>
    <w:rsid w:val="00447ADE"/>
    <w:rsid w:val="00451AAF"/>
    <w:rsid w:val="004B1B74"/>
    <w:rsid w:val="004C5C67"/>
    <w:rsid w:val="004D4001"/>
    <w:rsid w:val="004D5C8A"/>
    <w:rsid w:val="004E27C5"/>
    <w:rsid w:val="004F4640"/>
    <w:rsid w:val="00512D09"/>
    <w:rsid w:val="00513FD8"/>
    <w:rsid w:val="00551CD4"/>
    <w:rsid w:val="00553EAD"/>
    <w:rsid w:val="005757D2"/>
    <w:rsid w:val="005819D0"/>
    <w:rsid w:val="00581D4C"/>
    <w:rsid w:val="005B0930"/>
    <w:rsid w:val="005E1BE4"/>
    <w:rsid w:val="005F054B"/>
    <w:rsid w:val="005F5A19"/>
    <w:rsid w:val="005F6239"/>
    <w:rsid w:val="00612133"/>
    <w:rsid w:val="00620C25"/>
    <w:rsid w:val="00660EE6"/>
    <w:rsid w:val="006D3F68"/>
    <w:rsid w:val="006F2A2B"/>
    <w:rsid w:val="0071702F"/>
    <w:rsid w:val="007243BE"/>
    <w:rsid w:val="007A5666"/>
    <w:rsid w:val="007C059B"/>
    <w:rsid w:val="007D2C6B"/>
    <w:rsid w:val="007F1EB0"/>
    <w:rsid w:val="00852D06"/>
    <w:rsid w:val="00875271"/>
    <w:rsid w:val="008D100D"/>
    <w:rsid w:val="008E5472"/>
    <w:rsid w:val="00906CA7"/>
    <w:rsid w:val="0093550F"/>
    <w:rsid w:val="009542A5"/>
    <w:rsid w:val="009605D4"/>
    <w:rsid w:val="00982FA0"/>
    <w:rsid w:val="009B76F3"/>
    <w:rsid w:val="00A3238F"/>
    <w:rsid w:val="00A63D48"/>
    <w:rsid w:val="00AE374D"/>
    <w:rsid w:val="00AF7AE8"/>
    <w:rsid w:val="00B12490"/>
    <w:rsid w:val="00B240AC"/>
    <w:rsid w:val="00B33D64"/>
    <w:rsid w:val="00B5148E"/>
    <w:rsid w:val="00B51EF4"/>
    <w:rsid w:val="00B52B85"/>
    <w:rsid w:val="00B53388"/>
    <w:rsid w:val="00B63AAD"/>
    <w:rsid w:val="00B66029"/>
    <w:rsid w:val="00B71280"/>
    <w:rsid w:val="00B7793B"/>
    <w:rsid w:val="00BA01AF"/>
    <w:rsid w:val="00BC05C0"/>
    <w:rsid w:val="00BF25F4"/>
    <w:rsid w:val="00C14C8D"/>
    <w:rsid w:val="00C25D58"/>
    <w:rsid w:val="00C775B1"/>
    <w:rsid w:val="00C805FD"/>
    <w:rsid w:val="00C847C0"/>
    <w:rsid w:val="00C955E5"/>
    <w:rsid w:val="00CC0715"/>
    <w:rsid w:val="00CC1EC0"/>
    <w:rsid w:val="00CF546F"/>
    <w:rsid w:val="00D935CE"/>
    <w:rsid w:val="00DB5134"/>
    <w:rsid w:val="00DF2C3A"/>
    <w:rsid w:val="00DF5C93"/>
    <w:rsid w:val="00DF746A"/>
    <w:rsid w:val="00E21250"/>
    <w:rsid w:val="00E34C17"/>
    <w:rsid w:val="00E74063"/>
    <w:rsid w:val="00E80BD1"/>
    <w:rsid w:val="00EB62B8"/>
    <w:rsid w:val="00EB7D1C"/>
    <w:rsid w:val="00EC6A6B"/>
    <w:rsid w:val="00ED4C32"/>
    <w:rsid w:val="00EE1787"/>
    <w:rsid w:val="00EE72F0"/>
    <w:rsid w:val="00EF4BB0"/>
    <w:rsid w:val="00F07FD4"/>
    <w:rsid w:val="00F34400"/>
    <w:rsid w:val="00F71960"/>
    <w:rsid w:val="00F77B9E"/>
    <w:rsid w:val="00FB0A2F"/>
    <w:rsid w:val="00FF68B7"/>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70B5201"/>
  <w15:docId w15:val="{BAA2EE3A-A68D-497A-AD51-1CBF1B84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47B5"/>
    <w:pPr>
      <w:tabs>
        <w:tab w:val="left" w:pos="567"/>
      </w:tabs>
      <w:spacing w:after="120" w:line="276" w:lineRule="auto"/>
      <w:jc w:val="both"/>
    </w:pPr>
    <w:rPr>
      <w:rFonts w:ascii="Calibri" w:hAnsi="Calibri"/>
      <w:color w:val="00000A"/>
      <w:sz w:val="22"/>
      <w:lang w:eastAsia="en-US"/>
    </w:rPr>
  </w:style>
  <w:style w:type="paragraph" w:styleId="Heading1">
    <w:name w:val="heading 1"/>
    <w:basedOn w:val="Title"/>
    <w:link w:val="Heading1Char"/>
    <w:uiPriority w:val="9"/>
    <w:qFormat/>
    <w:rsid w:val="00546370"/>
    <w:pPr>
      <w:spacing w:before="140" w:after="140" w:line="280" w:lineRule="atLeast"/>
      <w:jc w:val="left"/>
      <w:outlineLvl w:val="0"/>
    </w:pPr>
    <w:rPr>
      <w:rFonts w:ascii="Arial" w:hAnsi="Arial"/>
      <w:lang w:val="en-US"/>
    </w:rPr>
  </w:style>
  <w:style w:type="paragraph" w:styleId="Heading2">
    <w:name w:val="heading 2"/>
    <w:basedOn w:val="Title"/>
    <w:link w:val="Heading2Char"/>
    <w:uiPriority w:val="9"/>
    <w:qFormat/>
    <w:rsid w:val="00381F9B"/>
    <w:pPr>
      <w:spacing w:before="140" w:after="140" w:line="280" w:lineRule="atLeast"/>
      <w:jc w:val="left"/>
      <w:outlineLvl w:val="1"/>
    </w:pPr>
    <w:rPr>
      <w:rFonts w:ascii="Calibri" w:hAnsi="Calibri"/>
      <w:b/>
      <w:lang w:val="en-US"/>
    </w:rPr>
  </w:style>
  <w:style w:type="paragraph" w:styleId="Heading3">
    <w:name w:val="heading 3"/>
    <w:basedOn w:val="Title"/>
    <w:link w:val="Heading3Char"/>
    <w:uiPriority w:val="9"/>
    <w:qFormat/>
    <w:rsid w:val="00546370"/>
    <w:pPr>
      <w:spacing w:before="140" w:after="140" w:line="280" w:lineRule="atLeast"/>
      <w:jc w:val="left"/>
      <w:outlineLvl w:val="2"/>
    </w:pPr>
    <w:rPr>
      <w:rFonts w:ascii="Arial" w:hAnsi="Arial"/>
      <w:b/>
      <w:lang w:val="en-US"/>
    </w:rPr>
  </w:style>
  <w:style w:type="paragraph" w:styleId="Heading4">
    <w:name w:val="heading 4"/>
    <w:basedOn w:val="Normal"/>
    <w:next w:val="Normal"/>
    <w:link w:val="Heading4Char"/>
    <w:uiPriority w:val="9"/>
    <w:semiHidden/>
    <w:unhideWhenUsed/>
    <w:qFormat/>
    <w:rsid w:val="00195ADE"/>
    <w:pPr>
      <w:keepNext/>
      <w:keepLines/>
      <w:spacing w:before="40" w:after="0"/>
      <w:outlineLvl w:val="3"/>
    </w:pPr>
    <w:rPr>
      <w:rFonts w:ascii="Arial" w:hAnsi="Arial"/>
      <w:iCs/>
      <w:color w:val="auto"/>
      <w:sz w:val="20"/>
      <w:lang w:eastAsia="en-GB"/>
    </w:rPr>
  </w:style>
  <w:style w:type="paragraph" w:styleId="Heading5">
    <w:name w:val="heading 5"/>
    <w:basedOn w:val="Normal"/>
    <w:next w:val="Normal"/>
    <w:link w:val="Heading5Char"/>
    <w:uiPriority w:val="9"/>
    <w:semiHidden/>
    <w:unhideWhenUsed/>
    <w:qFormat/>
    <w:rsid w:val="00195ADE"/>
    <w:pPr>
      <w:keepNext/>
      <w:keepLines/>
      <w:spacing w:before="40" w:after="0"/>
      <w:outlineLvl w:val="4"/>
    </w:pPr>
    <w:rPr>
      <w:rFonts w:ascii="Arial" w:hAnsi="Arial"/>
      <w:b/>
      <w:bCs/>
      <w:color w:val="7F7F7F"/>
      <w:sz w:val="20"/>
      <w:lang w:eastAsia="en-GB"/>
    </w:rPr>
  </w:style>
  <w:style w:type="paragraph" w:styleId="Heading6">
    <w:name w:val="heading 6"/>
    <w:basedOn w:val="Normal"/>
    <w:next w:val="Normal"/>
    <w:link w:val="Heading6Char"/>
    <w:uiPriority w:val="9"/>
    <w:semiHidden/>
    <w:unhideWhenUsed/>
    <w:qFormat/>
    <w:rsid w:val="00195ADE"/>
    <w:pPr>
      <w:keepNext/>
      <w:keepLines/>
      <w:spacing w:before="40" w:after="0"/>
      <w:outlineLvl w:val="5"/>
    </w:pPr>
    <w:rPr>
      <w:rFonts w:ascii="Arial" w:hAnsi="Arial"/>
      <w:b/>
      <w:bCs/>
      <w:i/>
      <w:iCs/>
      <w:color w:val="7F7F7F"/>
      <w:sz w:val="20"/>
      <w:lang w:eastAsia="en-GB"/>
    </w:rPr>
  </w:style>
  <w:style w:type="paragraph" w:styleId="Heading7">
    <w:name w:val="heading 7"/>
    <w:basedOn w:val="Normal"/>
    <w:next w:val="Normal"/>
    <w:link w:val="Heading7Char"/>
    <w:uiPriority w:val="9"/>
    <w:semiHidden/>
    <w:unhideWhenUsed/>
    <w:qFormat/>
    <w:rsid w:val="00195ADE"/>
    <w:pPr>
      <w:keepNext/>
      <w:keepLines/>
      <w:spacing w:before="40" w:after="0"/>
      <w:outlineLvl w:val="6"/>
    </w:pPr>
    <w:rPr>
      <w:rFonts w:ascii="Arial" w:hAnsi="Arial"/>
      <w:i/>
      <w:iCs/>
      <w:color w:val="auto"/>
      <w:sz w:val="20"/>
      <w:lang w:eastAsia="en-GB"/>
    </w:rPr>
  </w:style>
  <w:style w:type="paragraph" w:styleId="Heading8">
    <w:name w:val="heading 8"/>
    <w:basedOn w:val="Normal"/>
    <w:next w:val="Normal"/>
    <w:link w:val="Heading8Char"/>
    <w:uiPriority w:val="9"/>
    <w:semiHidden/>
    <w:unhideWhenUsed/>
    <w:qFormat/>
    <w:rsid w:val="00195ADE"/>
    <w:pPr>
      <w:keepNext/>
      <w:keepLines/>
      <w:spacing w:before="40" w:after="0"/>
      <w:outlineLvl w:val="7"/>
    </w:pPr>
    <w:rPr>
      <w:rFonts w:ascii="Arial" w:hAnsi="Arial"/>
      <w:color w:val="auto"/>
      <w:sz w:val="20"/>
      <w:lang w:eastAsia="en-GB"/>
    </w:rPr>
  </w:style>
  <w:style w:type="paragraph" w:styleId="Heading9">
    <w:name w:val="heading 9"/>
    <w:basedOn w:val="Normal"/>
    <w:next w:val="Normal"/>
    <w:link w:val="Heading9Char"/>
    <w:uiPriority w:val="9"/>
    <w:semiHidden/>
    <w:unhideWhenUsed/>
    <w:qFormat/>
    <w:rsid w:val="00195ADE"/>
    <w:pPr>
      <w:keepNext/>
      <w:keepLines/>
      <w:spacing w:before="40" w:after="0"/>
      <w:outlineLvl w:val="8"/>
    </w:pPr>
    <w:rPr>
      <w:rFonts w:ascii="Arial" w:hAnsi="Arial"/>
      <w:i/>
      <w:iCs/>
      <w:color w:val="auto"/>
      <w:spacing w:val="5"/>
      <w:sz w:val="20"/>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qFormat/>
    <w:rsid w:val="00BC7E24"/>
    <w:rPr>
      <w:rFonts w:ascii="Arial" w:hAnsi="Arial"/>
      <w:sz w:val="18"/>
    </w:rPr>
  </w:style>
  <w:style w:type="character" w:styleId="FollowedHyperlink">
    <w:name w:val="FollowedHyperlink"/>
    <w:uiPriority w:val="99"/>
    <w:qFormat/>
    <w:rPr>
      <w:color w:val="808080"/>
      <w:u w:val="none"/>
    </w:rPr>
  </w:style>
  <w:style w:type="character" w:customStyle="1" w:styleId="LienInternet">
    <w:name w:val="Lien Internet"/>
    <w:rsid w:val="00546370"/>
    <w:rPr>
      <w:rFonts w:ascii="Arial" w:hAnsi="Arial"/>
      <w:color w:val="16288E"/>
      <w:u w:val="none"/>
    </w:rPr>
  </w:style>
  <w:style w:type="character" w:customStyle="1" w:styleId="Heading1Char">
    <w:name w:val="Heading 1 Char"/>
    <w:link w:val="Heading1"/>
    <w:uiPriority w:val="9"/>
    <w:qFormat/>
    <w:rsid w:val="00EE7DC4"/>
    <w:rPr>
      <w:rFonts w:ascii="Arial" w:hAnsi="Arial"/>
      <w:sz w:val="28"/>
      <w:lang w:val="en-US" w:eastAsia="en-US" w:bidi="ar-SA"/>
    </w:rPr>
  </w:style>
  <w:style w:type="character" w:customStyle="1" w:styleId="Heading2Char">
    <w:name w:val="Heading 2 Char"/>
    <w:link w:val="Heading2"/>
    <w:uiPriority w:val="9"/>
    <w:qFormat/>
    <w:rsid w:val="00381F9B"/>
    <w:rPr>
      <w:rFonts w:ascii="Calibri" w:hAnsi="Calibri"/>
      <w:b/>
      <w:sz w:val="28"/>
      <w:lang w:val="en-US" w:eastAsia="en-US"/>
    </w:rPr>
  </w:style>
  <w:style w:type="character" w:customStyle="1" w:styleId="Heading3Char">
    <w:name w:val="Heading 3 Char"/>
    <w:link w:val="Heading3"/>
    <w:uiPriority w:val="9"/>
    <w:qFormat/>
    <w:rsid w:val="00EE7DC4"/>
    <w:rPr>
      <w:rFonts w:ascii="Arial" w:hAnsi="Arial"/>
      <w:b/>
      <w:lang w:val="en-US" w:eastAsia="en-US" w:bidi="ar-SA"/>
    </w:rPr>
  </w:style>
  <w:style w:type="character" w:customStyle="1" w:styleId="TitleChar">
    <w:name w:val="Title Char"/>
    <w:link w:val="Titreprincipal"/>
    <w:uiPriority w:val="10"/>
    <w:qFormat/>
    <w:rsid w:val="00EE7DC4"/>
    <w:rPr>
      <w:rFonts w:ascii="Arial" w:hAnsi="Arial"/>
      <w:sz w:val="40"/>
      <w:lang w:val="en-US" w:eastAsia="en-US" w:bidi="ar-SA"/>
    </w:rPr>
  </w:style>
  <w:style w:type="character" w:styleId="FootnoteReference">
    <w:name w:val="footnote reference"/>
    <w:aliases w:val="stylish"/>
    <w:qFormat/>
    <w:rsid w:val="00D02098"/>
    <w:rPr>
      <w:vertAlign w:val="superscript"/>
    </w:rPr>
  </w:style>
  <w:style w:type="character" w:styleId="CommentReference">
    <w:name w:val="annotation reference"/>
    <w:basedOn w:val="DefaultParagraphFont"/>
    <w:uiPriority w:val="99"/>
    <w:unhideWhenUsed/>
    <w:qFormat/>
    <w:rsid w:val="001936F6"/>
    <w:rPr>
      <w:sz w:val="16"/>
      <w:szCs w:val="16"/>
    </w:rPr>
  </w:style>
  <w:style w:type="character" w:customStyle="1" w:styleId="CommentTextChar">
    <w:name w:val="Comment Text Char"/>
    <w:basedOn w:val="DefaultParagraphFont"/>
    <w:link w:val="CommentText"/>
    <w:uiPriority w:val="99"/>
    <w:qFormat/>
    <w:rsid w:val="001936F6"/>
    <w:rPr>
      <w:rFonts w:ascii="Calibri" w:eastAsia="Calibri" w:hAnsi="Calibri"/>
      <w:lang w:val="fi-FI" w:eastAsia="en-US"/>
    </w:rPr>
  </w:style>
  <w:style w:type="character" w:customStyle="1" w:styleId="BalloonTextChar">
    <w:name w:val="Balloon Text Char"/>
    <w:basedOn w:val="DefaultParagraphFont"/>
    <w:link w:val="BalloonText"/>
    <w:uiPriority w:val="99"/>
    <w:qFormat/>
    <w:rsid w:val="001936F6"/>
    <w:rPr>
      <w:rFonts w:ascii="Tahoma" w:hAnsi="Tahoma" w:cs="Tahoma"/>
      <w:sz w:val="16"/>
      <w:szCs w:val="16"/>
      <w:lang w:eastAsia="en-US"/>
    </w:rPr>
  </w:style>
  <w:style w:type="character" w:customStyle="1" w:styleId="CommentSubjectChar">
    <w:name w:val="Comment Subject Char"/>
    <w:basedOn w:val="CommentTextChar"/>
    <w:link w:val="CommentSubject"/>
    <w:uiPriority w:val="99"/>
    <w:qFormat/>
    <w:rsid w:val="00E21E1F"/>
    <w:rPr>
      <w:rFonts w:ascii="Arial" w:eastAsia="Calibri" w:hAnsi="Arial"/>
      <w:b/>
      <w:bCs/>
      <w:lang w:val="fi-FI" w:eastAsia="en-US"/>
    </w:rPr>
  </w:style>
  <w:style w:type="character" w:customStyle="1" w:styleId="ListParagraphChar">
    <w:name w:val="List Paragraph Char"/>
    <w:aliases w:val="_Bullet Char"/>
    <w:link w:val="ListParagraph"/>
    <w:uiPriority w:val="34"/>
    <w:qFormat/>
    <w:locked/>
    <w:rsid w:val="00097B8D"/>
    <w:rPr>
      <w:rFonts w:ascii="Calibri" w:eastAsia="Calibri" w:hAnsi="Calibri"/>
      <w:sz w:val="22"/>
      <w:szCs w:val="22"/>
      <w:lang w:eastAsia="en-US"/>
    </w:rPr>
  </w:style>
  <w:style w:type="character" w:styleId="Emphasis">
    <w:name w:val="Emphasis"/>
    <w:basedOn w:val="DefaultParagraphFont"/>
    <w:uiPriority w:val="20"/>
    <w:qFormat/>
    <w:rsid w:val="003D61EF"/>
    <w:rPr>
      <w:i/>
      <w:iCs/>
    </w:rPr>
  </w:style>
  <w:style w:type="character" w:customStyle="1" w:styleId="FootnoteTextChar">
    <w:name w:val="Footnote Text Char"/>
    <w:aliases w:val="Ftnote Txt 11ptG Char"/>
    <w:basedOn w:val="DefaultParagraphFont"/>
    <w:link w:val="FootnoteText"/>
    <w:qFormat/>
    <w:rsid w:val="00070CF7"/>
    <w:rPr>
      <w:rFonts w:ascii="Arial" w:hAnsi="Arial"/>
      <w:sz w:val="16"/>
      <w:lang w:val="en-US" w:eastAsia="en-US"/>
    </w:rPr>
  </w:style>
  <w:style w:type="character" w:customStyle="1" w:styleId="ListLabel1">
    <w:name w:val="ListLabel 1"/>
    <w:qFormat/>
    <w:rPr>
      <w:color w:val="00000A"/>
    </w:rPr>
  </w:style>
  <w:style w:type="character" w:customStyle="1" w:styleId="ListLabel2">
    <w:name w:val="ListLabel 2"/>
    <w:qFormat/>
    <w:rPr>
      <w:color w:val="00000A"/>
    </w:rPr>
  </w:style>
  <w:style w:type="character" w:customStyle="1" w:styleId="ListLabel3">
    <w:name w:val="ListLabel 3"/>
    <w:qFormat/>
    <w:rPr>
      <w:b w:val="0"/>
      <w:i w:val="0"/>
      <w:color w:val="00000A"/>
      <w:sz w:val="20"/>
    </w:rPr>
  </w:style>
  <w:style w:type="character" w:customStyle="1" w:styleId="ListLabel4">
    <w:name w:val="ListLabel 4"/>
    <w:qFormat/>
    <w:rPr>
      <w:b w:val="0"/>
      <w:i w:val="0"/>
      <w:color w:val="00000A"/>
      <w:sz w:val="20"/>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Times New Roman"/>
      <w:i w:val="0"/>
      <w:sz w:val="22"/>
      <w:szCs w:val="22"/>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Caractresdenotedebasdepage">
    <w:name w:val="Caractères de note de bas de page"/>
    <w:qFormat/>
  </w:style>
  <w:style w:type="character" w:customStyle="1" w:styleId="Ancredenotedebasdepage">
    <w:name w:val="Ancre de note de bas de page"/>
    <w:rPr>
      <w:vertAlign w:val="superscript"/>
    </w:rPr>
  </w:style>
  <w:style w:type="character" w:customStyle="1" w:styleId="Ancredenotedefin">
    <w:name w:val="Ancre de note de fin"/>
    <w:rPr>
      <w:vertAlign w:val="superscript"/>
    </w:rPr>
  </w:style>
  <w:style w:type="character" w:customStyle="1" w:styleId="Caractresdenotedefin">
    <w:name w:val="Caractères de note de fin"/>
    <w:qFormat/>
  </w:style>
  <w:style w:type="character" w:customStyle="1" w:styleId="ListLabel17">
    <w:name w:val="ListLabel 17"/>
    <w:qFormat/>
    <w:rPr>
      <w:rFonts w:ascii="Calibri" w:hAnsi="Calibri" w:cs="Symbol"/>
      <w:sz w:val="20"/>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paragraph" w:styleId="Title">
    <w:name w:val="Title"/>
    <w:basedOn w:val="Normal"/>
    <w:next w:val="BodyText"/>
    <w:uiPriority w:val="10"/>
    <w:qFormat/>
    <w:pPr>
      <w:keepNext/>
      <w:spacing w:before="240"/>
    </w:pPr>
    <w:rPr>
      <w:rFonts w:ascii="Liberation Sans" w:eastAsia="Microsoft YaHei" w:hAnsi="Liberation Sans" w:cs="Mangal"/>
      <w:sz w:val="28"/>
      <w:szCs w:val="28"/>
    </w:rPr>
  </w:style>
  <w:style w:type="paragraph" w:styleId="BodyText">
    <w:name w:val="Body Text"/>
    <w:basedOn w:val="Normal"/>
    <w:rsid w:val="00546370"/>
  </w:style>
  <w:style w:type="paragraph" w:styleId="List">
    <w:name w:val="List"/>
    <w:basedOn w:val="BodyText"/>
    <w:rPr>
      <w:rFonts w:cs="Mangal"/>
    </w:rPr>
  </w:style>
  <w:style w:type="paragraph" w:styleId="Caption">
    <w:name w:val="caption"/>
    <w:basedOn w:val="Normal"/>
    <w:uiPriority w:val="35"/>
    <w:qFormat/>
    <w:pPr>
      <w:suppressLineNumbers/>
      <w:spacing w:before="120"/>
    </w:pPr>
    <w:rPr>
      <w:rFonts w:cs="Mangal"/>
      <w:i/>
      <w:iCs/>
      <w:sz w:val="24"/>
      <w:szCs w:val="24"/>
    </w:rPr>
  </w:style>
  <w:style w:type="paragraph" w:customStyle="1" w:styleId="Index">
    <w:name w:val="Index"/>
    <w:basedOn w:val="Normal"/>
    <w:qFormat/>
    <w:pPr>
      <w:suppressLineNumbers/>
    </w:pPr>
    <w:rPr>
      <w:rFonts w:cs="Mangal"/>
    </w:rPr>
  </w:style>
  <w:style w:type="paragraph" w:styleId="Header">
    <w:name w:val="header"/>
    <w:basedOn w:val="Normal"/>
    <w:link w:val="HeaderChar"/>
    <w:rsid w:val="00F42CE4"/>
    <w:pPr>
      <w:tabs>
        <w:tab w:val="left" w:pos="357"/>
        <w:tab w:val="center" w:pos="4320"/>
        <w:tab w:val="right" w:pos="8640"/>
      </w:tabs>
    </w:pPr>
    <w:rPr>
      <w:sz w:val="18"/>
    </w:rPr>
  </w:style>
  <w:style w:type="paragraph" w:styleId="Footer">
    <w:name w:val="footer"/>
    <w:aliases w:val="Footer1"/>
    <w:basedOn w:val="Normal"/>
    <w:link w:val="FooterChar"/>
    <w:uiPriority w:val="99"/>
    <w:rsid w:val="00F42CE4"/>
    <w:rPr>
      <w:sz w:val="18"/>
    </w:rPr>
  </w:style>
  <w:style w:type="paragraph" w:customStyle="1" w:styleId="Tabledesmatiresniveau2">
    <w:name w:val="Table des matières niveau 2"/>
    <w:basedOn w:val="Index"/>
    <w:next w:val="Normal"/>
    <w:autoRedefine/>
    <w:semiHidden/>
    <w:pPr>
      <w:tabs>
        <w:tab w:val="left" w:pos="1134"/>
        <w:tab w:val="left" w:pos="2268"/>
        <w:tab w:val="left" w:pos="2552"/>
        <w:tab w:val="left" w:pos="3119"/>
        <w:tab w:val="right" w:leader="dot" w:pos="8448"/>
      </w:tabs>
      <w:spacing w:before="60" w:after="60"/>
      <w:ind w:left="3119" w:right="1134" w:hanging="1418"/>
      <w:jc w:val="left"/>
    </w:pPr>
    <w:rPr>
      <w:rFonts w:ascii="Arial" w:hAnsi="Arial"/>
    </w:rPr>
  </w:style>
  <w:style w:type="paragraph" w:customStyle="1" w:styleId="Tabledesmatiresniveau3">
    <w:name w:val="Table des matières niveau 3"/>
    <w:basedOn w:val="BodyText"/>
    <w:next w:val="Normal"/>
    <w:autoRedefine/>
    <w:semiHidden/>
    <w:pPr>
      <w:tabs>
        <w:tab w:val="left" w:pos="851"/>
        <w:tab w:val="left" w:pos="1134"/>
        <w:tab w:val="left" w:pos="2268"/>
        <w:tab w:val="right" w:leader="dot" w:pos="8448"/>
      </w:tabs>
      <w:spacing w:after="0"/>
      <w:ind w:left="2268" w:right="1134"/>
    </w:pPr>
  </w:style>
  <w:style w:type="paragraph" w:customStyle="1" w:styleId="Tabledesmatiresniveau4">
    <w:name w:val="Table des matières niveau 4"/>
    <w:basedOn w:val="Normal"/>
    <w:next w:val="Normal"/>
    <w:autoRedefine/>
    <w:semiHidden/>
    <w:pPr>
      <w:tabs>
        <w:tab w:val="right" w:leader="dot" w:pos="8448"/>
        <w:tab w:val="right" w:pos="8505"/>
      </w:tabs>
      <w:ind w:left="2835" w:right="1134"/>
    </w:pPr>
  </w:style>
  <w:style w:type="paragraph" w:customStyle="1" w:styleId="Address">
    <w:name w:val="Address"/>
    <w:qFormat/>
    <w:pPr>
      <w:spacing w:line="180" w:lineRule="atLeast"/>
    </w:pPr>
    <w:rPr>
      <w:rFonts w:ascii="Arial" w:hAnsi="Arial"/>
      <w:color w:val="16288E"/>
      <w:sz w:val="16"/>
      <w:lang w:val="en-US" w:eastAsia="en-US"/>
    </w:rPr>
  </w:style>
  <w:style w:type="paragraph" w:styleId="EndnoteText">
    <w:name w:val="endnote text"/>
    <w:basedOn w:val="Normal"/>
    <w:link w:val="EndnoteTextChar"/>
    <w:uiPriority w:val="99"/>
    <w:semiHidden/>
    <w:qFormat/>
    <w:pPr>
      <w:tabs>
        <w:tab w:val="left" w:pos="357"/>
      </w:tabs>
    </w:pPr>
  </w:style>
  <w:style w:type="paragraph" w:styleId="EnvelopeAddress">
    <w:name w:val="envelope address"/>
    <w:basedOn w:val="Normal"/>
    <w:qFormat/>
    <w:pPr>
      <w:tabs>
        <w:tab w:val="left" w:pos="357"/>
      </w:tabs>
      <w:ind w:left="2880"/>
    </w:pPr>
  </w:style>
  <w:style w:type="paragraph" w:styleId="FootnoteText">
    <w:name w:val="footnote text"/>
    <w:aliases w:val="Ftnote Txt 11ptG"/>
    <w:basedOn w:val="Normal"/>
    <w:link w:val="FootnoteTextChar"/>
  </w:style>
  <w:style w:type="paragraph" w:customStyle="1" w:styleId="Introduction">
    <w:name w:val="Introduction"/>
    <w:basedOn w:val="BodyText"/>
    <w:qFormat/>
    <w:rsid w:val="00546370"/>
    <w:pPr>
      <w:spacing w:before="140"/>
    </w:pPr>
    <w:rPr>
      <w:b/>
    </w:rPr>
  </w:style>
  <w:style w:type="paragraph" w:styleId="ListBullet">
    <w:name w:val="List Bullet"/>
    <w:basedOn w:val="Normal"/>
    <w:uiPriority w:val="99"/>
    <w:qFormat/>
    <w:rsid w:val="00546370"/>
  </w:style>
  <w:style w:type="paragraph" w:styleId="ListNumber">
    <w:name w:val="List Number"/>
    <w:basedOn w:val="Normal"/>
    <w:qFormat/>
    <w:rsid w:val="00546370"/>
  </w:style>
  <w:style w:type="paragraph" w:customStyle="1" w:styleId="Titreprincipal">
    <w:name w:val="Titre principal"/>
    <w:basedOn w:val="Title"/>
    <w:link w:val="TitleChar"/>
    <w:qFormat/>
    <w:rsid w:val="00EE7DC4"/>
    <w:pPr>
      <w:spacing w:before="560" w:after="280" w:line="280" w:lineRule="atLeast"/>
      <w:jc w:val="left"/>
      <w:outlineLvl w:val="0"/>
    </w:pPr>
    <w:rPr>
      <w:rFonts w:ascii="Arial" w:hAnsi="Arial"/>
      <w:sz w:val="40"/>
      <w:lang w:val="en-US"/>
    </w:rPr>
  </w:style>
  <w:style w:type="paragraph" w:customStyle="1" w:styleId="ZchnZchn1CharCharCarCar">
    <w:name w:val="Zchn Zchn1 Char Char Car Car"/>
    <w:basedOn w:val="Normal"/>
    <w:qFormat/>
    <w:rsid w:val="00D02098"/>
    <w:pPr>
      <w:spacing w:after="160" w:line="240" w:lineRule="exact"/>
      <w:jc w:val="left"/>
    </w:pPr>
    <w:rPr>
      <w:rFonts w:ascii="Tahoma" w:hAnsi="Tahoma"/>
      <w:lang w:val="en-US"/>
    </w:rPr>
  </w:style>
  <w:style w:type="paragraph" w:customStyle="1" w:styleId="Docheader">
    <w:name w:val="Doc header"/>
    <w:basedOn w:val="Normal"/>
    <w:qFormat/>
    <w:rsid w:val="00D02098"/>
    <w:pPr>
      <w:spacing w:after="0" w:line="280" w:lineRule="exact"/>
      <w:jc w:val="left"/>
    </w:pPr>
    <w:rPr>
      <w:sz w:val="24"/>
      <w:lang w:val="en-US"/>
    </w:rPr>
  </w:style>
  <w:style w:type="paragraph" w:styleId="ListParagraph">
    <w:name w:val="List Paragraph"/>
    <w:aliases w:val="_Bullet"/>
    <w:basedOn w:val="Normal"/>
    <w:link w:val="ListParagraphChar"/>
    <w:uiPriority w:val="34"/>
    <w:qFormat/>
    <w:rsid w:val="005556BD"/>
    <w:pPr>
      <w:spacing w:after="200"/>
      <w:ind w:left="720"/>
      <w:contextualSpacing/>
      <w:jc w:val="left"/>
    </w:pPr>
    <w:rPr>
      <w:rFonts w:eastAsia="Calibri"/>
      <w:szCs w:val="22"/>
    </w:rPr>
  </w:style>
  <w:style w:type="paragraph" w:styleId="CommentText">
    <w:name w:val="annotation text"/>
    <w:basedOn w:val="Normal"/>
    <w:link w:val="CommentTextChar"/>
    <w:uiPriority w:val="99"/>
    <w:unhideWhenUsed/>
    <w:qFormat/>
    <w:rsid w:val="001936F6"/>
    <w:pPr>
      <w:spacing w:after="160" w:line="240" w:lineRule="auto"/>
      <w:jc w:val="left"/>
    </w:pPr>
    <w:rPr>
      <w:rFonts w:eastAsia="Calibri"/>
      <w:lang w:val="fi-FI"/>
    </w:rPr>
  </w:style>
  <w:style w:type="paragraph" w:styleId="BalloonText">
    <w:name w:val="Balloon Text"/>
    <w:basedOn w:val="Normal"/>
    <w:link w:val="BalloonTextChar"/>
    <w:uiPriority w:val="99"/>
    <w:qFormat/>
    <w:rsid w:val="001936F6"/>
    <w:pPr>
      <w:spacing w:after="0" w:line="240" w:lineRule="auto"/>
    </w:pPr>
    <w:rPr>
      <w:rFonts w:ascii="Tahoma" w:hAnsi="Tahoma" w:cs="Tahoma"/>
      <w:sz w:val="16"/>
      <w:szCs w:val="16"/>
    </w:rPr>
  </w:style>
  <w:style w:type="paragraph" w:styleId="CommentSubject">
    <w:name w:val="annotation subject"/>
    <w:basedOn w:val="CommentText"/>
    <w:link w:val="CommentSubjectChar"/>
    <w:uiPriority w:val="99"/>
    <w:qFormat/>
    <w:rsid w:val="00E21E1F"/>
    <w:pPr>
      <w:spacing w:after="140"/>
      <w:jc w:val="both"/>
    </w:pPr>
    <w:rPr>
      <w:rFonts w:ascii="Arial" w:eastAsia="Times New Roman" w:hAnsi="Arial"/>
      <w:b/>
      <w:bCs/>
      <w:lang w:val="en-GB"/>
    </w:rPr>
  </w:style>
  <w:style w:type="paragraph" w:customStyle="1" w:styleId="Body">
    <w:name w:val="Body"/>
    <w:qFormat/>
    <w:rsid w:val="001569F7"/>
    <w:pPr>
      <w:spacing w:after="120" w:line="276" w:lineRule="auto"/>
      <w:jc w:val="both"/>
    </w:pPr>
    <w:rPr>
      <w:rFonts w:ascii="Calibri" w:eastAsia="Calibri" w:hAnsi="Calibri" w:cs="Calibri"/>
      <w:color w:val="000000"/>
      <w:sz w:val="22"/>
      <w:szCs w:val="22"/>
      <w:u w:color="000000"/>
      <w:lang w:eastAsia="en-US"/>
    </w:rPr>
  </w:style>
  <w:style w:type="paragraph" w:styleId="Revision">
    <w:name w:val="Revision"/>
    <w:uiPriority w:val="99"/>
    <w:semiHidden/>
    <w:qFormat/>
    <w:rsid w:val="002006C7"/>
    <w:rPr>
      <w:rFonts w:ascii="Calibri" w:hAnsi="Calibri"/>
      <w:color w:val="00000A"/>
      <w:sz w:val="22"/>
      <w:lang w:eastAsia="en-US"/>
    </w:rPr>
  </w:style>
  <w:style w:type="table" w:styleId="LightShading-Accent3">
    <w:name w:val="Light Shading Accent 3"/>
    <w:basedOn w:val="TableNormal"/>
    <w:uiPriority w:val="60"/>
    <w:rsid w:val="002A04D7"/>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ableGrid">
    <w:name w:val="Table Grid"/>
    <w:basedOn w:val="TableNormal"/>
    <w:uiPriority w:val="39"/>
    <w:rsid w:val="00A5353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57766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1 Char"/>
    <w:basedOn w:val="DefaultParagraphFont"/>
    <w:link w:val="Footer"/>
    <w:uiPriority w:val="99"/>
    <w:rsid w:val="003B70B7"/>
    <w:rPr>
      <w:rFonts w:ascii="Calibri" w:hAnsi="Calibri"/>
      <w:color w:val="00000A"/>
      <w:sz w:val="18"/>
      <w:lang w:eastAsia="en-US"/>
    </w:rPr>
  </w:style>
  <w:style w:type="character" w:styleId="Hyperlink">
    <w:name w:val="Hyperlink"/>
    <w:basedOn w:val="DefaultParagraphFont"/>
    <w:uiPriority w:val="99"/>
    <w:unhideWhenUsed/>
    <w:rsid w:val="0026017E"/>
    <w:rPr>
      <w:color w:val="0000FF" w:themeColor="hyperlink"/>
      <w:u w:val="single"/>
    </w:rPr>
  </w:style>
  <w:style w:type="paragraph" w:customStyle="1" w:styleId="Heading41">
    <w:name w:val="Heading 41"/>
    <w:basedOn w:val="Normal"/>
    <w:next w:val="Normal"/>
    <w:uiPriority w:val="9"/>
    <w:unhideWhenUsed/>
    <w:qFormat/>
    <w:rsid w:val="00195ADE"/>
    <w:pPr>
      <w:keepNext/>
      <w:keepLines/>
      <w:tabs>
        <w:tab w:val="clear" w:pos="567"/>
      </w:tabs>
      <w:spacing w:line="259" w:lineRule="auto"/>
      <w:outlineLvl w:val="3"/>
    </w:pPr>
    <w:rPr>
      <w:rFonts w:ascii="Arial" w:hAnsi="Arial"/>
      <w:iCs/>
      <w:color w:val="auto"/>
      <w:szCs w:val="22"/>
    </w:rPr>
  </w:style>
  <w:style w:type="paragraph" w:customStyle="1" w:styleId="Heading51">
    <w:name w:val="Heading 51"/>
    <w:basedOn w:val="Normal"/>
    <w:next w:val="Normal"/>
    <w:uiPriority w:val="9"/>
    <w:unhideWhenUsed/>
    <w:rsid w:val="00195ADE"/>
    <w:pPr>
      <w:tabs>
        <w:tab w:val="clear" w:pos="567"/>
      </w:tabs>
      <w:spacing w:before="200" w:after="160" w:line="259" w:lineRule="auto"/>
      <w:outlineLvl w:val="4"/>
    </w:pPr>
    <w:rPr>
      <w:rFonts w:ascii="Arial" w:hAnsi="Arial"/>
      <w:b/>
      <w:bCs/>
      <w:color w:val="7F7F7F"/>
      <w:szCs w:val="22"/>
    </w:rPr>
  </w:style>
  <w:style w:type="paragraph" w:customStyle="1" w:styleId="Heading61">
    <w:name w:val="Heading 61"/>
    <w:basedOn w:val="Normal"/>
    <w:next w:val="Normal"/>
    <w:uiPriority w:val="9"/>
    <w:unhideWhenUsed/>
    <w:rsid w:val="00195ADE"/>
    <w:pPr>
      <w:tabs>
        <w:tab w:val="clear" w:pos="567"/>
      </w:tabs>
      <w:spacing w:after="160" w:line="271" w:lineRule="auto"/>
      <w:outlineLvl w:val="5"/>
    </w:pPr>
    <w:rPr>
      <w:rFonts w:ascii="Arial" w:hAnsi="Arial"/>
      <w:b/>
      <w:bCs/>
      <w:i/>
      <w:iCs/>
      <w:color w:val="7F7F7F"/>
      <w:szCs w:val="22"/>
    </w:rPr>
  </w:style>
  <w:style w:type="paragraph" w:customStyle="1" w:styleId="Heading71">
    <w:name w:val="Heading 71"/>
    <w:basedOn w:val="Normal"/>
    <w:next w:val="Normal"/>
    <w:uiPriority w:val="9"/>
    <w:unhideWhenUsed/>
    <w:rsid w:val="00195ADE"/>
    <w:pPr>
      <w:tabs>
        <w:tab w:val="clear" w:pos="567"/>
      </w:tabs>
      <w:spacing w:after="160" w:line="259" w:lineRule="auto"/>
      <w:outlineLvl w:val="6"/>
    </w:pPr>
    <w:rPr>
      <w:rFonts w:ascii="Arial" w:hAnsi="Arial"/>
      <w:i/>
      <w:iCs/>
      <w:color w:val="auto"/>
      <w:szCs w:val="22"/>
    </w:rPr>
  </w:style>
  <w:style w:type="paragraph" w:customStyle="1" w:styleId="Heading81">
    <w:name w:val="Heading 81"/>
    <w:basedOn w:val="Normal"/>
    <w:next w:val="Normal"/>
    <w:uiPriority w:val="9"/>
    <w:unhideWhenUsed/>
    <w:rsid w:val="00195ADE"/>
    <w:pPr>
      <w:tabs>
        <w:tab w:val="clear" w:pos="567"/>
      </w:tabs>
      <w:spacing w:after="160" w:line="259" w:lineRule="auto"/>
      <w:outlineLvl w:val="7"/>
    </w:pPr>
    <w:rPr>
      <w:rFonts w:ascii="Arial" w:hAnsi="Arial"/>
      <w:color w:val="auto"/>
      <w:sz w:val="20"/>
    </w:rPr>
  </w:style>
  <w:style w:type="paragraph" w:customStyle="1" w:styleId="Heading91">
    <w:name w:val="Heading 91"/>
    <w:basedOn w:val="Normal"/>
    <w:next w:val="Normal"/>
    <w:uiPriority w:val="9"/>
    <w:unhideWhenUsed/>
    <w:rsid w:val="00195ADE"/>
    <w:pPr>
      <w:tabs>
        <w:tab w:val="clear" w:pos="567"/>
      </w:tabs>
      <w:spacing w:after="160" w:line="259" w:lineRule="auto"/>
      <w:outlineLvl w:val="8"/>
    </w:pPr>
    <w:rPr>
      <w:rFonts w:ascii="Arial" w:hAnsi="Arial"/>
      <w:i/>
      <w:iCs/>
      <w:color w:val="auto"/>
      <w:spacing w:val="5"/>
      <w:sz w:val="20"/>
    </w:rPr>
  </w:style>
  <w:style w:type="numbering" w:customStyle="1" w:styleId="NoList1">
    <w:name w:val="No List1"/>
    <w:next w:val="NoList"/>
    <w:uiPriority w:val="99"/>
    <w:semiHidden/>
    <w:unhideWhenUsed/>
    <w:rsid w:val="00195ADE"/>
  </w:style>
  <w:style w:type="character" w:customStyle="1" w:styleId="Heading4Char">
    <w:name w:val="Heading 4 Char"/>
    <w:basedOn w:val="DefaultParagraphFont"/>
    <w:link w:val="Heading4"/>
    <w:uiPriority w:val="9"/>
    <w:rsid w:val="00195ADE"/>
    <w:rPr>
      <w:rFonts w:ascii="Arial" w:eastAsia="Times New Roman" w:hAnsi="Arial" w:cs="Times New Roman"/>
      <w:iCs/>
    </w:rPr>
  </w:style>
  <w:style w:type="paragraph" w:customStyle="1" w:styleId="Subtitle1">
    <w:name w:val="Subtitle1"/>
    <w:basedOn w:val="Normal"/>
    <w:next w:val="Normal"/>
    <w:uiPriority w:val="11"/>
    <w:qFormat/>
    <w:rsid w:val="00195ADE"/>
    <w:pPr>
      <w:numPr>
        <w:ilvl w:val="1"/>
      </w:numPr>
      <w:tabs>
        <w:tab w:val="clear" w:pos="567"/>
      </w:tabs>
      <w:spacing w:after="160" w:line="259" w:lineRule="auto"/>
    </w:pPr>
    <w:rPr>
      <w:rFonts w:ascii="Arial" w:hAnsi="Arial"/>
      <w:b/>
      <w:color w:val="000000"/>
      <w:sz w:val="24"/>
      <w:szCs w:val="22"/>
    </w:rPr>
  </w:style>
  <w:style w:type="character" w:customStyle="1" w:styleId="SubtitleChar">
    <w:name w:val="Subtitle Char"/>
    <w:basedOn w:val="DefaultParagraphFont"/>
    <w:link w:val="Subtitle"/>
    <w:uiPriority w:val="11"/>
    <w:rsid w:val="00195ADE"/>
    <w:rPr>
      <w:rFonts w:ascii="Arial" w:eastAsia="Times New Roman" w:hAnsi="Arial"/>
      <w:b/>
      <w:color w:val="000000"/>
      <w:sz w:val="24"/>
    </w:rPr>
  </w:style>
  <w:style w:type="character" w:styleId="SubtleEmphasis">
    <w:name w:val="Subtle Emphasis"/>
    <w:uiPriority w:val="19"/>
    <w:rsid w:val="00195ADE"/>
    <w:rPr>
      <w:i/>
      <w:iCs/>
    </w:rPr>
  </w:style>
  <w:style w:type="paragraph" w:styleId="Quote">
    <w:name w:val="Quote"/>
    <w:basedOn w:val="Normal"/>
    <w:next w:val="Normal"/>
    <w:link w:val="QuoteChar"/>
    <w:uiPriority w:val="29"/>
    <w:qFormat/>
    <w:rsid w:val="00195ADE"/>
    <w:pPr>
      <w:tabs>
        <w:tab w:val="clear" w:pos="567"/>
      </w:tabs>
      <w:spacing w:after="160" w:line="259" w:lineRule="auto"/>
      <w:ind w:left="357" w:right="357"/>
    </w:pPr>
    <w:rPr>
      <w:rFonts w:ascii="Arial" w:eastAsia="Arial" w:hAnsi="Arial"/>
      <w:i/>
      <w:iCs/>
      <w:color w:val="auto"/>
      <w:szCs w:val="22"/>
    </w:rPr>
  </w:style>
  <w:style w:type="character" w:customStyle="1" w:styleId="QuoteChar">
    <w:name w:val="Quote Char"/>
    <w:basedOn w:val="DefaultParagraphFont"/>
    <w:link w:val="Quote"/>
    <w:uiPriority w:val="29"/>
    <w:rsid w:val="00195ADE"/>
    <w:rPr>
      <w:rFonts w:ascii="Arial" w:eastAsia="Arial" w:hAnsi="Arial"/>
      <w:i/>
      <w:iCs/>
      <w:sz w:val="22"/>
      <w:szCs w:val="22"/>
      <w:lang w:eastAsia="en-US"/>
    </w:rPr>
  </w:style>
  <w:style w:type="paragraph" w:styleId="TOC1">
    <w:name w:val="toc 1"/>
    <w:basedOn w:val="Normal"/>
    <w:next w:val="Normal"/>
    <w:autoRedefine/>
    <w:uiPriority w:val="39"/>
    <w:unhideWhenUsed/>
    <w:qFormat/>
    <w:rsid w:val="00195ADE"/>
    <w:pPr>
      <w:tabs>
        <w:tab w:val="clear" w:pos="567"/>
      </w:tabs>
      <w:spacing w:line="259" w:lineRule="auto"/>
    </w:pPr>
    <w:rPr>
      <w:rFonts w:ascii="Arial" w:eastAsia="Arial" w:hAnsi="Arial"/>
      <w:b/>
      <w:caps/>
      <w:color w:val="auto"/>
      <w:szCs w:val="22"/>
    </w:rPr>
  </w:style>
  <w:style w:type="paragraph" w:styleId="TOC2">
    <w:name w:val="toc 2"/>
    <w:basedOn w:val="Normal"/>
    <w:next w:val="Normal"/>
    <w:autoRedefine/>
    <w:uiPriority w:val="39"/>
    <w:unhideWhenUsed/>
    <w:rsid w:val="00195ADE"/>
    <w:pPr>
      <w:tabs>
        <w:tab w:val="clear" w:pos="567"/>
      </w:tabs>
      <w:spacing w:line="259" w:lineRule="auto"/>
      <w:ind w:left="221"/>
    </w:pPr>
    <w:rPr>
      <w:rFonts w:ascii="Arial" w:eastAsia="Arial" w:hAnsi="Arial"/>
      <w:b/>
      <w:color w:val="auto"/>
      <w:szCs w:val="22"/>
    </w:rPr>
  </w:style>
  <w:style w:type="paragraph" w:styleId="TOC3">
    <w:name w:val="toc 3"/>
    <w:basedOn w:val="Normal"/>
    <w:next w:val="Normal"/>
    <w:autoRedefine/>
    <w:uiPriority w:val="39"/>
    <w:unhideWhenUsed/>
    <w:rsid w:val="00195ADE"/>
    <w:pPr>
      <w:tabs>
        <w:tab w:val="clear" w:pos="567"/>
      </w:tabs>
      <w:spacing w:line="259" w:lineRule="auto"/>
      <w:ind w:left="442"/>
    </w:pPr>
    <w:rPr>
      <w:rFonts w:ascii="Arial" w:eastAsia="Arial" w:hAnsi="Arial"/>
      <w:i/>
      <w:color w:val="auto"/>
      <w:szCs w:val="22"/>
    </w:rPr>
  </w:style>
  <w:style w:type="paragraph" w:styleId="TOC4">
    <w:name w:val="toc 4"/>
    <w:basedOn w:val="Normal"/>
    <w:next w:val="Normal"/>
    <w:autoRedefine/>
    <w:uiPriority w:val="39"/>
    <w:semiHidden/>
    <w:unhideWhenUsed/>
    <w:rsid w:val="00195ADE"/>
    <w:pPr>
      <w:tabs>
        <w:tab w:val="clear" w:pos="567"/>
      </w:tabs>
      <w:spacing w:line="259" w:lineRule="auto"/>
      <w:ind w:left="658"/>
    </w:pPr>
    <w:rPr>
      <w:rFonts w:ascii="Arial" w:eastAsia="Arial" w:hAnsi="Arial"/>
      <w:color w:val="auto"/>
      <w:szCs w:val="22"/>
    </w:rPr>
  </w:style>
  <w:style w:type="character" w:customStyle="1" w:styleId="EndnoteTextChar">
    <w:name w:val="Endnote Text Char"/>
    <w:basedOn w:val="DefaultParagraphFont"/>
    <w:link w:val="EndnoteText"/>
    <w:uiPriority w:val="99"/>
    <w:semiHidden/>
    <w:rsid w:val="00195ADE"/>
    <w:rPr>
      <w:rFonts w:ascii="Calibri" w:hAnsi="Calibri"/>
      <w:color w:val="00000A"/>
      <w:sz w:val="22"/>
      <w:lang w:eastAsia="en-US"/>
    </w:rPr>
  </w:style>
  <w:style w:type="character" w:styleId="EndnoteReference">
    <w:name w:val="endnote reference"/>
    <w:basedOn w:val="DefaultParagraphFont"/>
    <w:uiPriority w:val="99"/>
    <w:semiHidden/>
    <w:unhideWhenUsed/>
    <w:rsid w:val="00195ADE"/>
    <w:rPr>
      <w:vertAlign w:val="superscript"/>
    </w:rPr>
  </w:style>
  <w:style w:type="character" w:customStyle="1" w:styleId="HeaderChar">
    <w:name w:val="Header Char"/>
    <w:basedOn w:val="DefaultParagraphFont"/>
    <w:link w:val="Header"/>
    <w:rsid w:val="00195ADE"/>
    <w:rPr>
      <w:rFonts w:ascii="Calibri" w:hAnsi="Calibri"/>
      <w:color w:val="00000A"/>
      <w:sz w:val="18"/>
      <w:lang w:eastAsia="en-US"/>
    </w:rPr>
  </w:style>
  <w:style w:type="character" w:customStyle="1" w:styleId="Heading5Char">
    <w:name w:val="Heading 5 Char"/>
    <w:basedOn w:val="DefaultParagraphFont"/>
    <w:link w:val="Heading5"/>
    <w:uiPriority w:val="9"/>
    <w:rsid w:val="00195ADE"/>
    <w:rPr>
      <w:rFonts w:ascii="Arial" w:eastAsia="Times New Roman" w:hAnsi="Arial" w:cs="Times New Roman"/>
      <w:b/>
      <w:bCs/>
      <w:color w:val="7F7F7F"/>
    </w:rPr>
  </w:style>
  <w:style w:type="character" w:customStyle="1" w:styleId="Heading6Char">
    <w:name w:val="Heading 6 Char"/>
    <w:basedOn w:val="DefaultParagraphFont"/>
    <w:link w:val="Heading6"/>
    <w:uiPriority w:val="9"/>
    <w:rsid w:val="00195ADE"/>
    <w:rPr>
      <w:rFonts w:ascii="Arial" w:eastAsia="Times New Roman" w:hAnsi="Arial" w:cs="Times New Roman"/>
      <w:b/>
      <w:bCs/>
      <w:i/>
      <w:iCs/>
      <w:color w:val="7F7F7F"/>
    </w:rPr>
  </w:style>
  <w:style w:type="character" w:customStyle="1" w:styleId="Heading7Char">
    <w:name w:val="Heading 7 Char"/>
    <w:basedOn w:val="DefaultParagraphFont"/>
    <w:link w:val="Heading7"/>
    <w:uiPriority w:val="9"/>
    <w:rsid w:val="00195ADE"/>
    <w:rPr>
      <w:rFonts w:ascii="Arial" w:eastAsia="Times New Roman" w:hAnsi="Arial" w:cs="Times New Roman"/>
      <w:i/>
      <w:iCs/>
    </w:rPr>
  </w:style>
  <w:style w:type="character" w:customStyle="1" w:styleId="Heading8Char">
    <w:name w:val="Heading 8 Char"/>
    <w:basedOn w:val="DefaultParagraphFont"/>
    <w:link w:val="Heading8"/>
    <w:uiPriority w:val="9"/>
    <w:rsid w:val="00195ADE"/>
    <w:rPr>
      <w:rFonts w:ascii="Arial" w:eastAsia="Times New Roman" w:hAnsi="Arial" w:cs="Times New Roman"/>
      <w:sz w:val="20"/>
      <w:szCs w:val="20"/>
    </w:rPr>
  </w:style>
  <w:style w:type="character" w:customStyle="1" w:styleId="Heading9Char">
    <w:name w:val="Heading 9 Char"/>
    <w:basedOn w:val="DefaultParagraphFont"/>
    <w:link w:val="Heading9"/>
    <w:uiPriority w:val="9"/>
    <w:rsid w:val="00195ADE"/>
    <w:rPr>
      <w:rFonts w:ascii="Arial" w:eastAsia="Times New Roman" w:hAnsi="Arial" w:cs="Times New Roman"/>
      <w:i/>
      <w:iCs/>
      <w:spacing w:val="5"/>
      <w:sz w:val="20"/>
      <w:szCs w:val="20"/>
    </w:rPr>
  </w:style>
  <w:style w:type="paragraph" w:styleId="IntenseQuote">
    <w:name w:val="Intense Quote"/>
    <w:basedOn w:val="Normal"/>
    <w:next w:val="Normal"/>
    <w:link w:val="IntenseQuoteChar"/>
    <w:uiPriority w:val="30"/>
    <w:rsid w:val="00195ADE"/>
    <w:pPr>
      <w:pBdr>
        <w:bottom w:val="single" w:sz="4" w:space="1" w:color="auto"/>
      </w:pBdr>
      <w:tabs>
        <w:tab w:val="clear" w:pos="567"/>
      </w:tabs>
      <w:spacing w:before="200" w:after="280" w:line="259" w:lineRule="auto"/>
      <w:ind w:left="1008" w:right="1152"/>
    </w:pPr>
    <w:rPr>
      <w:rFonts w:ascii="Arial" w:eastAsia="Arial" w:hAnsi="Arial"/>
      <w:b/>
      <w:bCs/>
      <w:i/>
      <w:iCs/>
      <w:color w:val="auto"/>
      <w:szCs w:val="22"/>
    </w:rPr>
  </w:style>
  <w:style w:type="character" w:customStyle="1" w:styleId="IntenseQuoteChar">
    <w:name w:val="Intense Quote Char"/>
    <w:basedOn w:val="DefaultParagraphFont"/>
    <w:link w:val="IntenseQuote"/>
    <w:uiPriority w:val="30"/>
    <w:rsid w:val="00195ADE"/>
    <w:rPr>
      <w:rFonts w:ascii="Arial" w:eastAsia="Arial" w:hAnsi="Arial"/>
      <w:b/>
      <w:bCs/>
      <w:i/>
      <w:iCs/>
      <w:sz w:val="22"/>
      <w:szCs w:val="22"/>
      <w:lang w:eastAsia="en-US"/>
    </w:rPr>
  </w:style>
  <w:style w:type="character" w:styleId="IntenseReference">
    <w:name w:val="Intense Reference"/>
    <w:uiPriority w:val="32"/>
    <w:rsid w:val="00195ADE"/>
    <w:rPr>
      <w:smallCaps/>
      <w:spacing w:val="5"/>
      <w:u w:val="single"/>
    </w:rPr>
  </w:style>
  <w:style w:type="character" w:styleId="SubtleReference">
    <w:name w:val="Subtle Reference"/>
    <w:uiPriority w:val="31"/>
    <w:rsid w:val="00195ADE"/>
    <w:rPr>
      <w:smallCaps/>
    </w:rPr>
  </w:style>
  <w:style w:type="character" w:styleId="Strong">
    <w:name w:val="Strong"/>
    <w:uiPriority w:val="22"/>
    <w:qFormat/>
    <w:rsid w:val="00195ADE"/>
    <w:rPr>
      <w:b/>
      <w:bCs/>
    </w:rPr>
  </w:style>
  <w:style w:type="paragraph" w:customStyle="1" w:styleId="ListBulletStyle">
    <w:name w:val="List Bullet Style"/>
    <w:basedOn w:val="ListBullet"/>
    <w:qFormat/>
    <w:rsid w:val="00195ADE"/>
    <w:pPr>
      <w:numPr>
        <w:numId w:val="16"/>
      </w:numPr>
      <w:ind w:left="0" w:firstLine="0"/>
    </w:pPr>
  </w:style>
  <w:style w:type="paragraph" w:styleId="NoSpacing">
    <w:name w:val="No Spacing"/>
    <w:basedOn w:val="Normal"/>
    <w:link w:val="NoSpacingChar"/>
    <w:uiPriority w:val="1"/>
    <w:rsid w:val="00195ADE"/>
    <w:pPr>
      <w:tabs>
        <w:tab w:val="clear" w:pos="567"/>
      </w:tabs>
      <w:spacing w:after="160" w:line="259" w:lineRule="auto"/>
    </w:pPr>
    <w:rPr>
      <w:rFonts w:ascii="Arial" w:eastAsia="Arial" w:hAnsi="Arial"/>
      <w:color w:val="auto"/>
      <w:szCs w:val="22"/>
    </w:rPr>
  </w:style>
  <w:style w:type="character" w:styleId="BookTitle">
    <w:name w:val="Book Title"/>
    <w:uiPriority w:val="33"/>
    <w:rsid w:val="00195ADE"/>
    <w:rPr>
      <w:i/>
      <w:iCs/>
      <w:smallCaps/>
      <w:spacing w:val="5"/>
    </w:rPr>
  </w:style>
  <w:style w:type="character" w:customStyle="1" w:styleId="NoSpacingChar">
    <w:name w:val="No Spacing Char"/>
    <w:basedOn w:val="DefaultParagraphFont"/>
    <w:link w:val="NoSpacing"/>
    <w:uiPriority w:val="1"/>
    <w:rsid w:val="00195ADE"/>
    <w:rPr>
      <w:rFonts w:ascii="Arial" w:eastAsia="Arial" w:hAnsi="Arial"/>
      <w:sz w:val="22"/>
      <w:szCs w:val="22"/>
      <w:lang w:eastAsia="en-US"/>
    </w:rPr>
  </w:style>
  <w:style w:type="character" w:styleId="IntenseEmphasis">
    <w:name w:val="Intense Emphasis"/>
    <w:uiPriority w:val="21"/>
    <w:rsid w:val="00195ADE"/>
    <w:rPr>
      <w:b/>
      <w:bCs/>
    </w:rPr>
  </w:style>
  <w:style w:type="paragraph" w:customStyle="1" w:styleId="TOCHeading1">
    <w:name w:val="TOC Heading1"/>
    <w:basedOn w:val="Heading1"/>
    <w:next w:val="Normal"/>
    <w:uiPriority w:val="39"/>
    <w:semiHidden/>
    <w:unhideWhenUsed/>
    <w:qFormat/>
    <w:rsid w:val="00195ADE"/>
    <w:pPr>
      <w:keepLines/>
      <w:tabs>
        <w:tab w:val="clear" w:pos="567"/>
      </w:tabs>
      <w:spacing w:before="480" w:after="0" w:line="259" w:lineRule="auto"/>
      <w:jc w:val="both"/>
      <w:outlineLvl w:val="9"/>
    </w:pPr>
    <w:rPr>
      <w:rFonts w:eastAsia="Times New Roman" w:cs="Times New Roman"/>
      <w:b/>
      <w:bCs/>
      <w:color w:val="365F91"/>
      <w:lang w:val="en-GB"/>
    </w:rPr>
  </w:style>
  <w:style w:type="table" w:customStyle="1" w:styleId="TableGrid11">
    <w:name w:val="Table Grid11"/>
    <w:basedOn w:val="TableNormal"/>
    <w:next w:val="TableGrid"/>
    <w:uiPriority w:val="59"/>
    <w:rsid w:val="00195ADE"/>
    <w:rPr>
      <w:rFonts w:ascii="Arial" w:eastAsia="MS Mincho" w:hAnsi="Arial"/>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5ADE"/>
    <w:pPr>
      <w:tabs>
        <w:tab w:val="clear" w:pos="567"/>
      </w:tabs>
      <w:spacing w:before="100" w:beforeAutospacing="1" w:after="100" w:afterAutospacing="1" w:line="240" w:lineRule="auto"/>
    </w:pPr>
    <w:rPr>
      <w:rFonts w:ascii="Times New Roman" w:hAnsi="Times New Roman"/>
      <w:color w:val="auto"/>
      <w:sz w:val="24"/>
      <w:szCs w:val="24"/>
      <w:lang w:eastAsia="en-GB"/>
    </w:rPr>
  </w:style>
  <w:style w:type="paragraph" w:customStyle="1" w:styleId="TableParagraph">
    <w:name w:val="Table Paragraph"/>
    <w:basedOn w:val="Normal"/>
    <w:uiPriority w:val="1"/>
    <w:qFormat/>
    <w:rsid w:val="00195ADE"/>
    <w:pPr>
      <w:widowControl w:val="0"/>
      <w:tabs>
        <w:tab w:val="clear" w:pos="567"/>
      </w:tabs>
      <w:autoSpaceDE w:val="0"/>
      <w:autoSpaceDN w:val="0"/>
      <w:spacing w:after="0" w:line="240" w:lineRule="auto"/>
      <w:ind w:left="103"/>
      <w:jc w:val="left"/>
    </w:pPr>
    <w:rPr>
      <w:rFonts w:eastAsia="Calibri" w:cs="Calibri"/>
      <w:color w:val="auto"/>
      <w:szCs w:val="22"/>
      <w:lang w:val="en-US"/>
    </w:rPr>
  </w:style>
  <w:style w:type="character" w:styleId="UnresolvedMention">
    <w:name w:val="Unresolved Mention"/>
    <w:basedOn w:val="DefaultParagraphFont"/>
    <w:uiPriority w:val="99"/>
    <w:semiHidden/>
    <w:unhideWhenUsed/>
    <w:rsid w:val="00195ADE"/>
    <w:rPr>
      <w:color w:val="605E5C"/>
      <w:shd w:val="clear" w:color="auto" w:fill="E1DFDD"/>
    </w:rPr>
  </w:style>
  <w:style w:type="character" w:styleId="Mention">
    <w:name w:val="Mention"/>
    <w:basedOn w:val="DefaultParagraphFont"/>
    <w:uiPriority w:val="99"/>
    <w:unhideWhenUsed/>
    <w:rsid w:val="00195ADE"/>
    <w:rPr>
      <w:color w:val="2B579A"/>
      <w:shd w:val="clear" w:color="auto" w:fill="E1DFDD"/>
    </w:rPr>
  </w:style>
  <w:style w:type="character" w:customStyle="1" w:styleId="Heading4Char1">
    <w:name w:val="Heading 4 Char1"/>
    <w:basedOn w:val="DefaultParagraphFont"/>
    <w:semiHidden/>
    <w:rsid w:val="00195ADE"/>
    <w:rPr>
      <w:rFonts w:asciiTheme="majorHAnsi" w:eastAsiaTheme="majorEastAsia" w:hAnsiTheme="majorHAnsi" w:cstheme="majorBidi"/>
      <w:i/>
      <w:iCs/>
      <w:color w:val="365F91" w:themeColor="accent1" w:themeShade="BF"/>
      <w:sz w:val="22"/>
      <w:lang w:eastAsia="en-US"/>
    </w:rPr>
  </w:style>
  <w:style w:type="paragraph" w:styleId="Subtitle">
    <w:name w:val="Subtitle"/>
    <w:basedOn w:val="Normal"/>
    <w:next w:val="Normal"/>
    <w:link w:val="SubtitleChar"/>
    <w:uiPriority w:val="11"/>
    <w:qFormat/>
    <w:rsid w:val="00195ADE"/>
    <w:pPr>
      <w:numPr>
        <w:ilvl w:val="1"/>
      </w:numPr>
      <w:spacing w:after="160"/>
    </w:pPr>
    <w:rPr>
      <w:rFonts w:ascii="Arial" w:hAnsi="Arial"/>
      <w:b/>
      <w:color w:val="000000"/>
      <w:sz w:val="24"/>
      <w:lang w:eastAsia="en-GB"/>
    </w:rPr>
  </w:style>
  <w:style w:type="character" w:customStyle="1" w:styleId="SubtitleChar1">
    <w:name w:val="Subtitle Char1"/>
    <w:basedOn w:val="DefaultParagraphFont"/>
    <w:rsid w:val="00195ADE"/>
    <w:rPr>
      <w:rFonts w:asciiTheme="minorHAnsi" w:eastAsiaTheme="minorEastAsia" w:hAnsiTheme="minorHAnsi" w:cstheme="minorBidi"/>
      <w:color w:val="5A5A5A" w:themeColor="text1" w:themeTint="A5"/>
      <w:spacing w:val="15"/>
      <w:sz w:val="22"/>
      <w:szCs w:val="22"/>
      <w:lang w:eastAsia="en-US"/>
    </w:rPr>
  </w:style>
  <w:style w:type="character" w:customStyle="1" w:styleId="Heading5Char1">
    <w:name w:val="Heading 5 Char1"/>
    <w:basedOn w:val="DefaultParagraphFont"/>
    <w:semiHidden/>
    <w:rsid w:val="00195ADE"/>
    <w:rPr>
      <w:rFonts w:asciiTheme="majorHAnsi" w:eastAsiaTheme="majorEastAsia" w:hAnsiTheme="majorHAnsi" w:cstheme="majorBidi"/>
      <w:color w:val="365F91" w:themeColor="accent1" w:themeShade="BF"/>
      <w:sz w:val="22"/>
      <w:lang w:eastAsia="en-US"/>
    </w:rPr>
  </w:style>
  <w:style w:type="character" w:customStyle="1" w:styleId="Heading6Char1">
    <w:name w:val="Heading 6 Char1"/>
    <w:basedOn w:val="DefaultParagraphFont"/>
    <w:semiHidden/>
    <w:rsid w:val="00195ADE"/>
    <w:rPr>
      <w:rFonts w:asciiTheme="majorHAnsi" w:eastAsiaTheme="majorEastAsia" w:hAnsiTheme="majorHAnsi" w:cstheme="majorBidi"/>
      <w:color w:val="243F60" w:themeColor="accent1" w:themeShade="7F"/>
      <w:sz w:val="22"/>
      <w:lang w:eastAsia="en-US"/>
    </w:rPr>
  </w:style>
  <w:style w:type="character" w:customStyle="1" w:styleId="Heading7Char1">
    <w:name w:val="Heading 7 Char1"/>
    <w:basedOn w:val="DefaultParagraphFont"/>
    <w:semiHidden/>
    <w:rsid w:val="00195ADE"/>
    <w:rPr>
      <w:rFonts w:asciiTheme="majorHAnsi" w:eastAsiaTheme="majorEastAsia" w:hAnsiTheme="majorHAnsi" w:cstheme="majorBidi"/>
      <w:i/>
      <w:iCs/>
      <w:color w:val="243F60" w:themeColor="accent1" w:themeShade="7F"/>
      <w:sz w:val="22"/>
      <w:lang w:eastAsia="en-US"/>
    </w:rPr>
  </w:style>
  <w:style w:type="character" w:customStyle="1" w:styleId="Heading8Char1">
    <w:name w:val="Heading 8 Char1"/>
    <w:basedOn w:val="DefaultParagraphFont"/>
    <w:semiHidden/>
    <w:rsid w:val="00195ADE"/>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basedOn w:val="DefaultParagraphFont"/>
    <w:semiHidden/>
    <w:rsid w:val="00195ADE"/>
    <w:rPr>
      <w:rFonts w:asciiTheme="majorHAnsi" w:eastAsiaTheme="majorEastAsia" w:hAnsiTheme="majorHAnsi" w:cstheme="majorBidi"/>
      <w:i/>
      <w:iCs/>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2952385">
      <w:bodyDiv w:val="1"/>
      <w:marLeft w:val="0"/>
      <w:marRight w:val="0"/>
      <w:marTop w:val="0"/>
      <w:marBottom w:val="0"/>
      <w:divBdr>
        <w:top w:val="none" w:sz="0" w:space="0" w:color="auto"/>
        <w:left w:val="none" w:sz="0" w:space="0" w:color="auto"/>
        <w:bottom w:val="none" w:sz="0" w:space="0" w:color="auto"/>
        <w:right w:val="none" w:sz="0" w:space="0" w:color="auto"/>
      </w:divBdr>
    </w:div>
    <w:div w:id="1484809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ospar.org/documents?d=32966" TargetMode="External"/><Relationship Id="rId18" Type="http://schemas.openxmlformats.org/officeDocument/2006/relationships/hyperlink" Target="https://oap.ospar.org/en/ospar-assessments/quality-status-reports/qsr-2023/other-assessments/renewable-energy/"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tiff"/><Relationship Id="rId17" Type="http://schemas.openxmlformats.org/officeDocument/2006/relationships/hyperlink" Target="https://oap.ospar.org/en/ospar-assessments/quality-status-reports/qsr-2023/other-assessments/fisheries/" TargetMode="External"/><Relationship Id="rId2" Type="http://schemas.openxmlformats.org/officeDocument/2006/relationships/numbering" Target="numbering.xml"/><Relationship Id="rId16" Type="http://schemas.openxmlformats.org/officeDocument/2006/relationships/hyperlink" Target="https://mhc.jncc.gov.uk/" TargetMode="External"/><Relationship Id="rId20" Type="http://schemas.openxmlformats.org/officeDocument/2006/relationships/hyperlink" Target="https://hub.jncc.gov.uk/assets/1e136107-1396-4c67-b755-dc9f43bf3bb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naturescot.nexus.objective.co.uk/documents/A4649079/details" TargetMode="External"/><Relationship Id="rId10" Type="http://schemas.openxmlformats.org/officeDocument/2006/relationships/footer" Target="footer1.xml"/><Relationship Id="rId19" Type="http://schemas.openxmlformats.org/officeDocument/2006/relationships/hyperlink" Target="https://doi.org/10.1353/bae.2016.0024"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ti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A9C7C-3590-4EDB-92D2-8694682A6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13</Pages>
  <Words>4511</Words>
  <Characters>25714</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OSPAR_MEETING_DOCUMENT</vt:lpstr>
      <vt:lpstr>OSPAR_MEETING_DOCUMENT</vt:lpstr>
    </vt:vector>
  </TitlesOfParts>
  <Company>.</Company>
  <LinksUpToDate>false</LinksUpToDate>
  <CharactersWithSpaces>30165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OSPAR_MEETING_DOCUMENT</dc:title>
  <dc:creator>Philip Stamp</dc:creator>
  <cp:lastModifiedBy>Eleanor Dening</cp:lastModifiedBy>
  <cp:revision>24</cp:revision>
  <dcterms:created xsi:type="dcterms:W3CDTF">2025-02-05T12:19:00Z</dcterms:created>
  <dcterms:modified xsi:type="dcterms:W3CDTF">2025-10-15T14:32:00Z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